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2BD4A" w14:textId="4FDE9E2E" w:rsidR="0070550C" w:rsidRPr="00261F9B" w:rsidRDefault="0070550C" w:rsidP="0070550C">
      <w:pPr>
        <w:rPr>
          <w:rFonts w:ascii="Times New Roman" w:hAnsi="Times New Roman"/>
          <w:b/>
          <w:bCs/>
          <w:sz w:val="24"/>
          <w:szCs w:val="24"/>
        </w:rPr>
      </w:pPr>
      <w:r w:rsidRPr="00261F9B">
        <w:rPr>
          <w:rFonts w:ascii="Times New Roman" w:hAnsi="Times New Roman"/>
          <w:b/>
          <w:bCs/>
          <w:sz w:val="24"/>
          <w:szCs w:val="24"/>
        </w:rPr>
        <w:t xml:space="preserve">Enclosure </w:t>
      </w:r>
      <w:r>
        <w:rPr>
          <w:rFonts w:ascii="Times New Roman" w:hAnsi="Times New Roman"/>
          <w:b/>
          <w:bCs/>
          <w:sz w:val="24"/>
          <w:szCs w:val="24"/>
        </w:rPr>
        <w:t>2</w:t>
      </w:r>
      <w:r w:rsidRPr="00261F9B">
        <w:rPr>
          <w:rFonts w:ascii="Times New Roman" w:hAnsi="Times New Roman"/>
          <w:b/>
          <w:bCs/>
          <w:sz w:val="24"/>
          <w:szCs w:val="24"/>
        </w:rPr>
        <w:t xml:space="preserve"> </w:t>
      </w:r>
      <w:r w:rsidR="00020B85">
        <w:rPr>
          <w:rFonts w:ascii="Times New Roman" w:hAnsi="Times New Roman"/>
          <w:b/>
          <w:bCs/>
          <w:sz w:val="24"/>
          <w:szCs w:val="24"/>
        </w:rPr>
        <w:t>–</w:t>
      </w:r>
      <w:r w:rsidRPr="00261F9B">
        <w:rPr>
          <w:rFonts w:ascii="Times New Roman" w:hAnsi="Times New Roman"/>
          <w:b/>
          <w:bCs/>
          <w:sz w:val="24"/>
          <w:szCs w:val="24"/>
        </w:rPr>
        <w:t xml:space="preserve"> </w:t>
      </w:r>
      <w:r w:rsidR="00020B85">
        <w:rPr>
          <w:rFonts w:ascii="Times New Roman" w:hAnsi="Times New Roman"/>
          <w:b/>
          <w:bCs/>
          <w:sz w:val="24"/>
          <w:szCs w:val="24"/>
        </w:rPr>
        <w:t>Equal Opportunity Questionnaire</w:t>
      </w:r>
    </w:p>
    <w:p w14:paraId="65A6CAC9" w14:textId="77777777" w:rsidR="0070550C" w:rsidRDefault="0070550C" w:rsidP="00D44FFC">
      <w:pPr>
        <w:kinsoku w:val="0"/>
        <w:overflowPunct w:val="0"/>
        <w:autoSpaceDE w:val="0"/>
        <w:autoSpaceDN w:val="0"/>
        <w:adjustRightInd w:val="0"/>
        <w:spacing w:after="0" w:line="276" w:lineRule="auto"/>
        <w:ind w:left="40" w:right="159"/>
        <w:rPr>
          <w:rFonts w:ascii="Cambria" w:hAnsi="Cambria" w:cs="Cambria"/>
          <w:i/>
          <w:iCs/>
          <w:color w:val="4E81BD"/>
          <w:spacing w:val="13"/>
          <w:sz w:val="24"/>
          <w:szCs w:val="24"/>
        </w:rPr>
      </w:pPr>
    </w:p>
    <w:p w14:paraId="489869B3" w14:textId="5BCD14E0" w:rsidR="00D44FFC" w:rsidRPr="00D44FFC" w:rsidRDefault="00D44FFC" w:rsidP="00D44FFC">
      <w:pPr>
        <w:kinsoku w:val="0"/>
        <w:overflowPunct w:val="0"/>
        <w:autoSpaceDE w:val="0"/>
        <w:autoSpaceDN w:val="0"/>
        <w:adjustRightInd w:val="0"/>
        <w:spacing w:after="0" w:line="276" w:lineRule="auto"/>
        <w:ind w:left="40" w:right="159"/>
        <w:rPr>
          <w:rFonts w:ascii="Cambria" w:hAnsi="Cambria" w:cs="Cambria"/>
          <w:i/>
          <w:iCs/>
          <w:color w:val="4E81BD"/>
          <w:spacing w:val="12"/>
          <w:sz w:val="24"/>
          <w:szCs w:val="24"/>
        </w:rPr>
      </w:pPr>
      <w:r w:rsidRPr="00D44FFC">
        <w:rPr>
          <w:rFonts w:ascii="Cambria" w:hAnsi="Cambria" w:cs="Cambria"/>
          <w:i/>
          <w:iCs/>
          <w:color w:val="4E81BD"/>
          <w:spacing w:val="13"/>
          <w:sz w:val="24"/>
          <w:szCs w:val="24"/>
        </w:rPr>
        <w:t>***Please</w:t>
      </w:r>
      <w:r w:rsidRPr="00D44FFC">
        <w:rPr>
          <w:rFonts w:ascii="Cambria" w:hAnsi="Cambria" w:cs="Cambria"/>
          <w:i/>
          <w:iCs/>
          <w:color w:val="4E81BD"/>
          <w:spacing w:val="38"/>
          <w:sz w:val="24"/>
          <w:szCs w:val="24"/>
        </w:rPr>
        <w:t xml:space="preserve"> </w:t>
      </w:r>
      <w:r w:rsidRPr="00D44FFC">
        <w:rPr>
          <w:rFonts w:ascii="Cambria" w:hAnsi="Cambria" w:cs="Cambria"/>
          <w:i/>
          <w:iCs/>
          <w:color w:val="4E81BD"/>
          <w:spacing w:val="12"/>
          <w:sz w:val="24"/>
          <w:szCs w:val="24"/>
        </w:rPr>
        <w:t>provide</w:t>
      </w:r>
      <w:r w:rsidRPr="00D44FFC">
        <w:rPr>
          <w:rFonts w:ascii="Cambria" w:hAnsi="Cambria" w:cs="Cambria"/>
          <w:i/>
          <w:iCs/>
          <w:color w:val="4E81BD"/>
          <w:spacing w:val="38"/>
          <w:sz w:val="24"/>
          <w:szCs w:val="24"/>
        </w:rPr>
        <w:t xml:space="preserve"> </w:t>
      </w:r>
      <w:r w:rsidRPr="00D44FFC">
        <w:rPr>
          <w:rFonts w:ascii="Cambria" w:hAnsi="Cambria" w:cs="Cambria"/>
          <w:i/>
          <w:iCs/>
          <w:color w:val="4E81BD"/>
          <w:spacing w:val="12"/>
          <w:sz w:val="24"/>
          <w:szCs w:val="24"/>
        </w:rPr>
        <w:t>supporting</w:t>
      </w:r>
      <w:r w:rsidRPr="00D44FFC">
        <w:rPr>
          <w:rFonts w:ascii="Cambria" w:hAnsi="Cambria" w:cs="Cambria"/>
          <w:i/>
          <w:iCs/>
          <w:color w:val="4E81BD"/>
          <w:spacing w:val="40"/>
          <w:sz w:val="24"/>
          <w:szCs w:val="24"/>
        </w:rPr>
        <w:t xml:space="preserve"> </w:t>
      </w:r>
      <w:r w:rsidRPr="00D44FFC">
        <w:rPr>
          <w:rFonts w:ascii="Cambria" w:hAnsi="Cambria" w:cs="Cambria"/>
          <w:i/>
          <w:iCs/>
          <w:color w:val="4E81BD"/>
          <w:spacing w:val="13"/>
          <w:sz w:val="24"/>
          <w:szCs w:val="24"/>
        </w:rPr>
        <w:t>documents</w:t>
      </w:r>
      <w:r w:rsidRPr="00D44FFC">
        <w:rPr>
          <w:rFonts w:ascii="Cambria" w:hAnsi="Cambria" w:cs="Cambria"/>
          <w:i/>
          <w:iCs/>
          <w:color w:val="4E81BD"/>
          <w:spacing w:val="35"/>
          <w:sz w:val="24"/>
          <w:szCs w:val="24"/>
        </w:rPr>
        <w:t xml:space="preserve"> </w:t>
      </w:r>
      <w:r w:rsidRPr="00D44FFC">
        <w:rPr>
          <w:rFonts w:ascii="Cambria" w:hAnsi="Cambria" w:cs="Cambria"/>
          <w:i/>
          <w:iCs/>
          <w:color w:val="4E81BD"/>
          <w:spacing w:val="10"/>
          <w:sz w:val="24"/>
          <w:szCs w:val="24"/>
        </w:rPr>
        <w:t>not</w:t>
      </w:r>
      <w:r w:rsidRPr="00D44FFC">
        <w:rPr>
          <w:rFonts w:ascii="Cambria" w:hAnsi="Cambria" w:cs="Cambria"/>
          <w:i/>
          <w:iCs/>
          <w:color w:val="4E81BD"/>
          <w:spacing w:val="39"/>
          <w:sz w:val="24"/>
          <w:szCs w:val="24"/>
        </w:rPr>
        <w:t xml:space="preserve"> </w:t>
      </w:r>
      <w:r w:rsidRPr="00D44FFC">
        <w:rPr>
          <w:rFonts w:ascii="Cambria" w:hAnsi="Cambria" w:cs="Cambria"/>
          <w:i/>
          <w:iCs/>
          <w:color w:val="4E81BD"/>
          <w:spacing w:val="12"/>
          <w:sz w:val="24"/>
          <w:szCs w:val="24"/>
        </w:rPr>
        <w:t>already</w:t>
      </w:r>
      <w:r w:rsidRPr="00D44FFC">
        <w:rPr>
          <w:rFonts w:ascii="Cambria" w:hAnsi="Cambria" w:cs="Cambria"/>
          <w:i/>
          <w:iCs/>
          <w:color w:val="4E81BD"/>
          <w:spacing w:val="40"/>
          <w:sz w:val="24"/>
          <w:szCs w:val="24"/>
        </w:rPr>
        <w:t xml:space="preserve"> </w:t>
      </w:r>
      <w:r w:rsidRPr="00D44FFC">
        <w:rPr>
          <w:rFonts w:ascii="Cambria" w:hAnsi="Cambria" w:cs="Cambria"/>
          <w:i/>
          <w:iCs/>
          <w:color w:val="4E81BD"/>
          <w:spacing w:val="12"/>
          <w:sz w:val="24"/>
          <w:szCs w:val="24"/>
        </w:rPr>
        <w:t>included</w:t>
      </w:r>
      <w:r w:rsidRPr="00D44FFC">
        <w:rPr>
          <w:rFonts w:ascii="Cambria" w:hAnsi="Cambria" w:cs="Cambria"/>
          <w:i/>
          <w:iCs/>
          <w:color w:val="4E81BD"/>
          <w:spacing w:val="39"/>
          <w:sz w:val="24"/>
          <w:szCs w:val="24"/>
        </w:rPr>
        <w:t xml:space="preserve"> </w:t>
      </w:r>
      <w:r w:rsidRPr="00D44FFC">
        <w:rPr>
          <w:rFonts w:ascii="Cambria" w:hAnsi="Cambria" w:cs="Cambria"/>
          <w:i/>
          <w:iCs/>
          <w:color w:val="4E81BD"/>
          <w:spacing w:val="10"/>
          <w:sz w:val="24"/>
          <w:szCs w:val="24"/>
        </w:rPr>
        <w:t>with</w:t>
      </w:r>
      <w:r w:rsidRPr="00D44FFC">
        <w:rPr>
          <w:rFonts w:ascii="Cambria" w:hAnsi="Cambria" w:cs="Cambria"/>
          <w:i/>
          <w:iCs/>
          <w:color w:val="4E81BD"/>
          <w:spacing w:val="39"/>
          <w:sz w:val="24"/>
          <w:szCs w:val="24"/>
        </w:rPr>
        <w:t xml:space="preserve"> </w:t>
      </w:r>
      <w:r w:rsidRPr="00D44FFC">
        <w:rPr>
          <w:rFonts w:ascii="Cambria" w:hAnsi="Cambria" w:cs="Cambria"/>
          <w:i/>
          <w:iCs/>
          <w:color w:val="4E81BD"/>
          <w:spacing w:val="10"/>
          <w:sz w:val="24"/>
          <w:szCs w:val="24"/>
        </w:rPr>
        <w:t>the</w:t>
      </w:r>
      <w:r w:rsidRPr="00D44FFC">
        <w:rPr>
          <w:rFonts w:ascii="Cambria" w:hAnsi="Cambria" w:cs="Cambria"/>
          <w:i/>
          <w:iCs/>
          <w:color w:val="4E81BD"/>
          <w:spacing w:val="38"/>
          <w:sz w:val="24"/>
          <w:szCs w:val="24"/>
        </w:rPr>
        <w:t xml:space="preserve"> </w:t>
      </w:r>
      <w:r w:rsidRPr="00D44FFC">
        <w:rPr>
          <w:rFonts w:ascii="Cambria" w:hAnsi="Cambria" w:cs="Cambria"/>
          <w:i/>
          <w:iCs/>
          <w:color w:val="4E81BD"/>
          <w:spacing w:val="15"/>
          <w:sz w:val="24"/>
          <w:szCs w:val="24"/>
        </w:rPr>
        <w:t xml:space="preserve">desk </w:t>
      </w:r>
      <w:r w:rsidRPr="00D44FFC">
        <w:rPr>
          <w:rFonts w:ascii="Cambria" w:hAnsi="Cambria" w:cs="Cambria"/>
          <w:i/>
          <w:iCs/>
          <w:color w:val="4E81BD"/>
          <w:spacing w:val="11"/>
          <w:sz w:val="24"/>
          <w:szCs w:val="24"/>
        </w:rPr>
        <w:t>review</w:t>
      </w:r>
      <w:r w:rsidRPr="00D44FFC">
        <w:rPr>
          <w:rFonts w:ascii="Cambria" w:hAnsi="Cambria" w:cs="Cambria"/>
          <w:i/>
          <w:iCs/>
          <w:color w:val="4E81BD"/>
          <w:spacing w:val="40"/>
          <w:sz w:val="24"/>
          <w:szCs w:val="24"/>
        </w:rPr>
        <w:t xml:space="preserve"> </w:t>
      </w:r>
      <w:r w:rsidRPr="00D44FFC">
        <w:rPr>
          <w:rFonts w:ascii="Cambria" w:hAnsi="Cambria" w:cs="Cambria"/>
          <w:i/>
          <w:iCs/>
          <w:color w:val="4E81BD"/>
          <w:spacing w:val="13"/>
          <w:sz w:val="24"/>
          <w:szCs w:val="24"/>
        </w:rPr>
        <w:t>documents</w:t>
      </w:r>
      <w:r w:rsidRPr="00D44FFC">
        <w:rPr>
          <w:rFonts w:ascii="Cambria" w:hAnsi="Cambria" w:cs="Cambria"/>
          <w:i/>
          <w:iCs/>
          <w:color w:val="4E81BD"/>
          <w:spacing w:val="38"/>
          <w:sz w:val="24"/>
          <w:szCs w:val="24"/>
        </w:rPr>
        <w:t xml:space="preserve"> </w:t>
      </w:r>
      <w:r w:rsidRPr="00D44FFC">
        <w:rPr>
          <w:rFonts w:ascii="Cambria" w:hAnsi="Cambria" w:cs="Cambria"/>
          <w:i/>
          <w:iCs/>
          <w:color w:val="4E81BD"/>
          <w:spacing w:val="13"/>
          <w:sz w:val="24"/>
          <w:szCs w:val="24"/>
        </w:rPr>
        <w:t>submission.</w:t>
      </w:r>
      <w:r w:rsidRPr="00D44FFC">
        <w:rPr>
          <w:rFonts w:ascii="Cambria" w:hAnsi="Cambria" w:cs="Cambria"/>
          <w:i/>
          <w:iCs/>
          <w:color w:val="4E81BD"/>
          <w:spacing w:val="80"/>
          <w:w w:val="150"/>
          <w:sz w:val="24"/>
          <w:szCs w:val="24"/>
        </w:rPr>
        <w:t xml:space="preserve"> </w:t>
      </w:r>
      <w:r w:rsidRPr="00D44FFC">
        <w:rPr>
          <w:rFonts w:ascii="Cambria" w:hAnsi="Cambria" w:cs="Cambria"/>
          <w:i/>
          <w:iCs/>
          <w:color w:val="4E81BD"/>
          <w:spacing w:val="10"/>
          <w:sz w:val="24"/>
          <w:szCs w:val="24"/>
        </w:rPr>
        <w:t>For</w:t>
      </w:r>
      <w:r w:rsidRPr="00D44FFC">
        <w:rPr>
          <w:rFonts w:ascii="Cambria" w:hAnsi="Cambria" w:cs="Cambria"/>
          <w:i/>
          <w:iCs/>
          <w:color w:val="4E81BD"/>
          <w:spacing w:val="39"/>
          <w:sz w:val="24"/>
          <w:szCs w:val="24"/>
        </w:rPr>
        <w:t xml:space="preserve"> </w:t>
      </w:r>
      <w:r w:rsidRPr="00D44FFC">
        <w:rPr>
          <w:rFonts w:ascii="Cambria" w:hAnsi="Cambria" w:cs="Cambria"/>
          <w:i/>
          <w:iCs/>
          <w:color w:val="4E81BD"/>
          <w:spacing w:val="13"/>
          <w:sz w:val="24"/>
          <w:szCs w:val="24"/>
        </w:rPr>
        <w:t>previously</w:t>
      </w:r>
      <w:r w:rsidRPr="00D44FFC">
        <w:rPr>
          <w:rFonts w:ascii="Cambria" w:hAnsi="Cambria" w:cs="Cambria"/>
          <w:i/>
          <w:iCs/>
          <w:color w:val="4E81BD"/>
          <w:spacing w:val="38"/>
          <w:sz w:val="24"/>
          <w:szCs w:val="24"/>
        </w:rPr>
        <w:t xml:space="preserve"> </w:t>
      </w:r>
      <w:r w:rsidRPr="00D44FFC">
        <w:rPr>
          <w:rFonts w:ascii="Cambria" w:hAnsi="Cambria" w:cs="Cambria"/>
          <w:i/>
          <w:iCs/>
          <w:color w:val="4E81BD"/>
          <w:spacing w:val="12"/>
          <w:sz w:val="24"/>
          <w:szCs w:val="24"/>
        </w:rPr>
        <w:t>provided</w:t>
      </w:r>
      <w:r w:rsidRPr="00D44FFC">
        <w:rPr>
          <w:rFonts w:ascii="Cambria" w:hAnsi="Cambria" w:cs="Cambria"/>
          <w:i/>
          <w:iCs/>
          <w:color w:val="4E81BD"/>
          <w:spacing w:val="39"/>
          <w:sz w:val="24"/>
          <w:szCs w:val="24"/>
        </w:rPr>
        <w:t xml:space="preserve"> </w:t>
      </w:r>
      <w:r w:rsidRPr="00D44FFC">
        <w:rPr>
          <w:rFonts w:ascii="Cambria" w:hAnsi="Cambria" w:cs="Cambria"/>
          <w:i/>
          <w:iCs/>
          <w:color w:val="4E81BD"/>
          <w:spacing w:val="13"/>
          <w:sz w:val="24"/>
          <w:szCs w:val="24"/>
        </w:rPr>
        <w:t>documents,</w:t>
      </w:r>
      <w:r w:rsidRPr="00D44FFC">
        <w:rPr>
          <w:rFonts w:ascii="Cambria" w:hAnsi="Cambria" w:cs="Cambria"/>
          <w:i/>
          <w:iCs/>
          <w:color w:val="4E81BD"/>
          <w:spacing w:val="39"/>
          <w:sz w:val="24"/>
          <w:szCs w:val="24"/>
        </w:rPr>
        <w:t xml:space="preserve"> </w:t>
      </w:r>
      <w:r w:rsidRPr="00D44FFC">
        <w:rPr>
          <w:rFonts w:ascii="Cambria" w:hAnsi="Cambria" w:cs="Cambria"/>
          <w:i/>
          <w:iCs/>
          <w:color w:val="4E81BD"/>
          <w:spacing w:val="14"/>
          <w:sz w:val="24"/>
          <w:szCs w:val="24"/>
        </w:rPr>
        <w:t xml:space="preserve">please </w:t>
      </w:r>
      <w:r w:rsidRPr="00D44FFC">
        <w:rPr>
          <w:rFonts w:ascii="Cambria" w:hAnsi="Cambria" w:cs="Cambria"/>
          <w:i/>
          <w:iCs/>
          <w:color w:val="4E81BD"/>
          <w:spacing w:val="12"/>
          <w:sz w:val="24"/>
          <w:szCs w:val="24"/>
        </w:rPr>
        <w:t>indicate</w:t>
      </w:r>
      <w:r w:rsidRPr="00D44FFC">
        <w:rPr>
          <w:rFonts w:ascii="Cambria" w:hAnsi="Cambria" w:cs="Cambria"/>
          <w:i/>
          <w:iCs/>
          <w:color w:val="4E81BD"/>
          <w:spacing w:val="39"/>
          <w:sz w:val="24"/>
          <w:szCs w:val="24"/>
        </w:rPr>
        <w:t xml:space="preserve"> </w:t>
      </w:r>
      <w:r w:rsidRPr="00D44FFC">
        <w:rPr>
          <w:rFonts w:ascii="Cambria" w:hAnsi="Cambria" w:cs="Cambria"/>
          <w:i/>
          <w:iCs/>
          <w:color w:val="4E81BD"/>
          <w:spacing w:val="12"/>
          <w:sz w:val="24"/>
          <w:szCs w:val="24"/>
        </w:rPr>
        <w:t>document</w:t>
      </w:r>
      <w:r w:rsidRPr="00D44FFC">
        <w:rPr>
          <w:rFonts w:ascii="Cambria" w:hAnsi="Cambria" w:cs="Cambria"/>
          <w:i/>
          <w:iCs/>
          <w:color w:val="4E81BD"/>
          <w:spacing w:val="38"/>
          <w:sz w:val="24"/>
          <w:szCs w:val="24"/>
        </w:rPr>
        <w:t xml:space="preserve"> </w:t>
      </w:r>
      <w:r w:rsidRPr="00D44FFC">
        <w:rPr>
          <w:rFonts w:ascii="Cambria" w:hAnsi="Cambria" w:cs="Cambria"/>
          <w:i/>
          <w:iCs/>
          <w:color w:val="4E81BD"/>
          <w:spacing w:val="11"/>
          <w:sz w:val="24"/>
          <w:szCs w:val="24"/>
        </w:rPr>
        <w:t>title</w:t>
      </w:r>
      <w:r w:rsidRPr="00D44FFC">
        <w:rPr>
          <w:rFonts w:ascii="Cambria" w:hAnsi="Cambria" w:cs="Cambria"/>
          <w:i/>
          <w:iCs/>
          <w:color w:val="4E81BD"/>
          <w:spacing w:val="38"/>
          <w:sz w:val="24"/>
          <w:szCs w:val="24"/>
        </w:rPr>
        <w:t xml:space="preserve"> </w:t>
      </w:r>
      <w:r w:rsidRPr="00D44FFC">
        <w:rPr>
          <w:rFonts w:ascii="Cambria" w:hAnsi="Cambria" w:cs="Cambria"/>
          <w:i/>
          <w:iCs/>
          <w:color w:val="4E81BD"/>
          <w:spacing w:val="9"/>
          <w:sz w:val="24"/>
          <w:szCs w:val="24"/>
        </w:rPr>
        <w:t>and</w:t>
      </w:r>
      <w:r w:rsidRPr="00D44FFC">
        <w:rPr>
          <w:rFonts w:ascii="Cambria" w:hAnsi="Cambria" w:cs="Cambria"/>
          <w:i/>
          <w:iCs/>
          <w:color w:val="4E81BD"/>
          <w:spacing w:val="40"/>
          <w:sz w:val="24"/>
          <w:szCs w:val="24"/>
        </w:rPr>
        <w:t xml:space="preserve"> </w:t>
      </w:r>
      <w:r w:rsidRPr="00D44FFC">
        <w:rPr>
          <w:rFonts w:ascii="Cambria" w:hAnsi="Cambria" w:cs="Cambria"/>
          <w:i/>
          <w:iCs/>
          <w:color w:val="4E81BD"/>
          <w:spacing w:val="10"/>
          <w:sz w:val="24"/>
          <w:szCs w:val="24"/>
        </w:rPr>
        <w:t>page</w:t>
      </w:r>
      <w:r w:rsidRPr="00D44FFC">
        <w:rPr>
          <w:rFonts w:ascii="Cambria" w:hAnsi="Cambria" w:cs="Cambria"/>
          <w:i/>
          <w:iCs/>
          <w:color w:val="4E81BD"/>
          <w:spacing w:val="38"/>
          <w:sz w:val="24"/>
          <w:szCs w:val="24"/>
        </w:rPr>
        <w:t xml:space="preserve"> </w:t>
      </w:r>
      <w:r w:rsidRPr="00D44FFC">
        <w:rPr>
          <w:rFonts w:ascii="Cambria" w:hAnsi="Cambria" w:cs="Cambria"/>
          <w:i/>
          <w:iCs/>
          <w:color w:val="4E81BD"/>
          <w:spacing w:val="13"/>
          <w:sz w:val="24"/>
          <w:szCs w:val="24"/>
        </w:rPr>
        <w:t>reference</w:t>
      </w:r>
      <w:r w:rsidRPr="00D44FFC">
        <w:rPr>
          <w:rFonts w:ascii="Cambria" w:hAnsi="Cambria" w:cs="Cambria"/>
          <w:i/>
          <w:iCs/>
          <w:color w:val="4E81BD"/>
          <w:spacing w:val="38"/>
          <w:sz w:val="24"/>
          <w:szCs w:val="24"/>
        </w:rPr>
        <w:t xml:space="preserve"> </w:t>
      </w:r>
      <w:r w:rsidRPr="00D44FFC">
        <w:rPr>
          <w:rFonts w:ascii="Cambria" w:hAnsi="Cambria" w:cs="Cambria"/>
          <w:i/>
          <w:iCs/>
          <w:color w:val="4E81BD"/>
          <w:sz w:val="24"/>
          <w:szCs w:val="24"/>
        </w:rPr>
        <w:t>in</w:t>
      </w:r>
      <w:r w:rsidRPr="00D44FFC">
        <w:rPr>
          <w:rFonts w:ascii="Cambria" w:hAnsi="Cambria" w:cs="Cambria"/>
          <w:i/>
          <w:iCs/>
          <w:color w:val="4E81BD"/>
          <w:spacing w:val="39"/>
          <w:sz w:val="24"/>
          <w:szCs w:val="24"/>
        </w:rPr>
        <w:t xml:space="preserve"> </w:t>
      </w:r>
      <w:r w:rsidRPr="00D44FFC">
        <w:rPr>
          <w:rFonts w:ascii="Cambria" w:hAnsi="Cambria" w:cs="Cambria"/>
          <w:i/>
          <w:iCs/>
          <w:color w:val="4E81BD"/>
          <w:spacing w:val="12"/>
          <w:sz w:val="24"/>
          <w:szCs w:val="24"/>
        </w:rPr>
        <w:t>responding</w:t>
      </w:r>
      <w:r w:rsidRPr="00D44FFC">
        <w:rPr>
          <w:rFonts w:ascii="Cambria" w:hAnsi="Cambria" w:cs="Cambria"/>
          <w:i/>
          <w:iCs/>
          <w:color w:val="4E81BD"/>
          <w:spacing w:val="40"/>
          <w:sz w:val="24"/>
          <w:szCs w:val="24"/>
        </w:rPr>
        <w:t xml:space="preserve"> </w:t>
      </w:r>
      <w:r w:rsidRPr="00D44FFC">
        <w:rPr>
          <w:rFonts w:ascii="Cambria" w:hAnsi="Cambria" w:cs="Cambria"/>
          <w:i/>
          <w:iCs/>
          <w:color w:val="4E81BD"/>
          <w:sz w:val="24"/>
          <w:szCs w:val="24"/>
        </w:rPr>
        <w:t>to</w:t>
      </w:r>
      <w:r w:rsidRPr="00D44FFC">
        <w:rPr>
          <w:rFonts w:ascii="Cambria" w:hAnsi="Cambria" w:cs="Cambria"/>
          <w:i/>
          <w:iCs/>
          <w:color w:val="4E81BD"/>
          <w:spacing w:val="38"/>
          <w:sz w:val="24"/>
          <w:szCs w:val="24"/>
        </w:rPr>
        <w:t xml:space="preserve"> </w:t>
      </w:r>
      <w:r w:rsidRPr="00D44FFC">
        <w:rPr>
          <w:rFonts w:ascii="Cambria" w:hAnsi="Cambria" w:cs="Cambria"/>
          <w:i/>
          <w:iCs/>
          <w:color w:val="4E81BD"/>
          <w:spacing w:val="9"/>
          <w:sz w:val="24"/>
          <w:szCs w:val="24"/>
        </w:rPr>
        <w:t>the</w:t>
      </w:r>
      <w:r w:rsidRPr="00D44FFC">
        <w:rPr>
          <w:rFonts w:ascii="Cambria" w:hAnsi="Cambria" w:cs="Cambria"/>
          <w:i/>
          <w:iCs/>
          <w:color w:val="4E81BD"/>
          <w:spacing w:val="39"/>
          <w:sz w:val="24"/>
          <w:szCs w:val="24"/>
        </w:rPr>
        <w:t xml:space="preserve"> </w:t>
      </w:r>
      <w:r w:rsidRPr="00D44FFC">
        <w:rPr>
          <w:rFonts w:ascii="Cambria" w:hAnsi="Cambria" w:cs="Cambria"/>
          <w:i/>
          <w:iCs/>
          <w:color w:val="4E81BD"/>
          <w:spacing w:val="12"/>
          <w:sz w:val="24"/>
          <w:szCs w:val="24"/>
        </w:rPr>
        <w:t>question.</w:t>
      </w:r>
    </w:p>
    <w:p w14:paraId="1A1BCAE7" w14:textId="77777777" w:rsidR="00D44FFC" w:rsidRPr="00D44FFC" w:rsidRDefault="00D44FFC" w:rsidP="00D44FFC">
      <w:pPr>
        <w:kinsoku w:val="0"/>
        <w:overflowPunct w:val="0"/>
        <w:autoSpaceDE w:val="0"/>
        <w:autoSpaceDN w:val="0"/>
        <w:adjustRightInd w:val="0"/>
        <w:spacing w:before="199" w:after="0" w:line="240" w:lineRule="auto"/>
        <w:ind w:left="40"/>
        <w:outlineLvl w:val="0"/>
        <w:rPr>
          <w:rFonts w:ascii="Cambria" w:hAnsi="Cambria" w:cs="Cambria"/>
          <w:b/>
          <w:bCs/>
          <w:color w:val="4E81BD"/>
          <w:spacing w:val="-2"/>
          <w:sz w:val="26"/>
          <w:szCs w:val="26"/>
        </w:rPr>
      </w:pPr>
      <w:r w:rsidRPr="00D44FFC">
        <w:rPr>
          <w:rFonts w:ascii="Cambria" w:hAnsi="Cambria" w:cs="Cambria"/>
          <w:b/>
          <w:bCs/>
          <w:color w:val="4E81BD"/>
          <w:spacing w:val="-2"/>
          <w:sz w:val="26"/>
          <w:szCs w:val="26"/>
        </w:rPr>
        <w:t>General</w:t>
      </w:r>
    </w:p>
    <w:p w14:paraId="3743AF59" w14:textId="6DD2DFCF" w:rsidR="00D44FFC" w:rsidRPr="00D44FFC" w:rsidRDefault="00D44FFC" w:rsidP="00D44FFC">
      <w:pPr>
        <w:numPr>
          <w:ilvl w:val="0"/>
          <w:numId w:val="5"/>
        </w:numPr>
        <w:tabs>
          <w:tab w:val="left" w:pos="759"/>
        </w:tabs>
        <w:kinsoku w:val="0"/>
        <w:overflowPunct w:val="0"/>
        <w:autoSpaceDE w:val="0"/>
        <w:autoSpaceDN w:val="0"/>
        <w:adjustRightInd w:val="0"/>
        <w:spacing w:before="46" w:after="0" w:line="276" w:lineRule="auto"/>
        <w:ind w:left="759" w:right="246" w:hanging="360"/>
        <w:rPr>
          <w:rFonts w:ascii="Calibri" w:hAnsi="Calibri" w:cs="Calibri"/>
          <w:color w:val="7F7F7F"/>
        </w:rPr>
      </w:pPr>
      <w:r w:rsidRPr="00D44FFC">
        <w:rPr>
          <w:rFonts w:ascii="Calibri" w:hAnsi="Calibri" w:cs="Calibri"/>
        </w:rPr>
        <w:t>Briefly describe strategies used during the transportation planning process to ensure, demonstrate and substantiate compliance with the various equal opportunity requirements at 23 CFR 450.33</w:t>
      </w:r>
      <w:r>
        <w:rPr>
          <w:rFonts w:ascii="Calibri" w:hAnsi="Calibri" w:cs="Calibri"/>
        </w:rPr>
        <w:t>6</w:t>
      </w:r>
      <w:r w:rsidRPr="00D44FFC">
        <w:rPr>
          <w:rFonts w:ascii="Calibri" w:hAnsi="Calibri" w:cs="Calibri"/>
        </w:rPr>
        <w:t xml:space="preserve">(a)(3) – (10). </w:t>
      </w:r>
      <w:bookmarkStart w:id="0" w:name="_Hlk188626319"/>
      <w:sdt>
        <w:sdtPr>
          <w:id w:val="-1241946467"/>
          <w:placeholder>
            <w:docPart w:val="1C1166209752462DA55F90E977364668"/>
          </w:placeholder>
        </w:sdtPr>
        <w:sdtEndPr/>
        <w:sdtContent>
          <w:r w:rsidR="00673AD7" w:rsidRPr="00673AD7">
            <w:t xml:space="preserve">As illustrated in the Public Participation Plan 2020 Update, HATS staff uses a comprehensive outreach approach with extensive online and </w:t>
          </w:r>
          <w:proofErr w:type="gramStart"/>
          <w:r w:rsidR="00673AD7" w:rsidRPr="00673AD7">
            <w:t>social-media</w:t>
          </w:r>
          <w:proofErr w:type="gramEnd"/>
          <w:r w:rsidR="00673AD7" w:rsidRPr="00673AD7">
            <w:t xml:space="preserve"> based engagement, bolstered by implementation of the Core Elements of the EJ Unified Methodology, as well as analysis of other traditionally underserved or disadvantaged populations and communities. In-person meetings are held as required/appropriate for plans and </w:t>
          </w:r>
          <w:proofErr w:type="gramStart"/>
          <w:r w:rsidR="00673AD7" w:rsidRPr="00673AD7">
            <w:t>programs, and</w:t>
          </w:r>
          <w:proofErr w:type="gramEnd"/>
          <w:r w:rsidR="00673AD7" w:rsidRPr="00673AD7">
            <w:t xml:space="preserve"> have included participation in special community events throughout the region. HATS also has an email database that includes non-profit organizations from across our region, many of which focus on the region’s underserved and disadvantaged communities and populations. Post COVID-pandemic, additional emphasis has been placed on virtual/hybrid meetings and online tools to solicit input and feedback. Other outreach activities include participation in community-based safety and plan development efforts (including Tri-County Community Action) and routine communication with our region’s Amish and Mennonite communities.</w:t>
          </w:r>
        </w:sdtContent>
      </w:sdt>
      <w:bookmarkEnd w:id="0"/>
    </w:p>
    <w:p w14:paraId="3AAAC259" w14:textId="736641DC" w:rsidR="00D44FFC" w:rsidRPr="00AF5717" w:rsidRDefault="00D44FFC" w:rsidP="00AF5717">
      <w:pPr>
        <w:numPr>
          <w:ilvl w:val="0"/>
          <w:numId w:val="5"/>
        </w:numPr>
        <w:tabs>
          <w:tab w:val="left" w:pos="759"/>
        </w:tabs>
        <w:kinsoku w:val="0"/>
        <w:overflowPunct w:val="0"/>
        <w:autoSpaceDE w:val="0"/>
        <w:autoSpaceDN w:val="0"/>
        <w:adjustRightInd w:val="0"/>
        <w:spacing w:after="0" w:line="276" w:lineRule="auto"/>
        <w:ind w:left="759" w:right="355" w:hanging="360"/>
      </w:pPr>
      <w:r w:rsidRPr="00D44FFC">
        <w:rPr>
          <w:rFonts w:ascii="Calibri" w:hAnsi="Calibri" w:cs="Calibri"/>
        </w:rPr>
        <w:t>Describe different approaches the MPO considers during</w:t>
      </w:r>
      <w:r w:rsidRPr="00D44FFC">
        <w:rPr>
          <w:rFonts w:ascii="Calibri" w:hAnsi="Calibri" w:cs="Calibri"/>
          <w:spacing w:val="40"/>
        </w:rPr>
        <w:t xml:space="preserve"> </w:t>
      </w:r>
      <w:r w:rsidRPr="00D44FFC">
        <w:rPr>
          <w:rFonts w:ascii="Calibri" w:hAnsi="Calibri" w:cs="Calibri"/>
        </w:rPr>
        <w:t>the development of their programs and projects that increase the accessibility and mobility of traditionally underserved communities and individuals.</w:t>
      </w:r>
      <w:r w:rsidRPr="00D44FFC">
        <w:rPr>
          <w:rFonts w:ascii="Calibri" w:hAnsi="Calibri" w:cs="Calibri"/>
          <w:spacing w:val="40"/>
        </w:rPr>
        <w:t xml:space="preserve"> </w:t>
      </w:r>
      <w:bookmarkStart w:id="1" w:name="_Hlk188628330"/>
      <w:sdt>
        <w:sdtPr>
          <w:id w:val="-1136727342"/>
          <w:placeholder>
            <w:docPart w:val="FE34DF26846E4B26902AA7A32721D93A"/>
          </w:placeholder>
        </w:sdtPr>
        <w:sdtEndPr/>
        <w:sdtContent>
          <w:r w:rsidR="00AF5717" w:rsidRPr="00AF5717">
            <w:t xml:space="preserve">In addition to the approaches outlined in the Public Participation Plan 2020 Update (and referenced above), HATS staff engages the region’s advocate communities and organizations to solicit input and provide opportunities for review and comment. Mobility &amp; Accessibility, as well as Active Transportation, are focus areas of our HATS 2050 Regional Transportation Plan and our HATS Regional Active Transportation Plan. For the development of both these plans, focus/stakeholder group meetings were held with representatives from organizations like our HATS Bike/Ped Task Force, the Center for Independent Living Central PA, and Tri-County Community Action. HATS also engages in analysis of our transportation </w:t>
          </w:r>
          <w:proofErr w:type="gramStart"/>
          <w:r w:rsidR="00AF5717" w:rsidRPr="00AF5717">
            <w:t>system as a whole, as well as</w:t>
          </w:r>
          <w:proofErr w:type="gramEnd"/>
          <w:r w:rsidR="00AF5717" w:rsidRPr="00AF5717">
            <w:t xml:space="preserve"> each Transportation Improvement Program through the implementation of the Core Elements identified in the EJ Unified Methodology.</w:t>
          </w:r>
        </w:sdtContent>
      </w:sdt>
      <w:bookmarkEnd w:id="1"/>
    </w:p>
    <w:p w14:paraId="43EEA214" w14:textId="27650BEC" w:rsidR="00D44FFC" w:rsidRPr="00D44FFC" w:rsidRDefault="00D44FFC" w:rsidP="00D44FFC">
      <w:pPr>
        <w:numPr>
          <w:ilvl w:val="0"/>
          <w:numId w:val="5"/>
        </w:numPr>
        <w:tabs>
          <w:tab w:val="left" w:pos="759"/>
        </w:tabs>
        <w:kinsoku w:val="0"/>
        <w:overflowPunct w:val="0"/>
        <w:autoSpaceDE w:val="0"/>
        <w:autoSpaceDN w:val="0"/>
        <w:adjustRightInd w:val="0"/>
        <w:spacing w:after="0" w:line="276" w:lineRule="auto"/>
        <w:ind w:left="759" w:right="234" w:hanging="360"/>
        <w:rPr>
          <w:rFonts w:ascii="Calibri" w:hAnsi="Calibri" w:cs="Calibri"/>
          <w:color w:val="7F7F7F"/>
        </w:rPr>
      </w:pPr>
      <w:r w:rsidRPr="00D44FFC">
        <w:rPr>
          <w:rFonts w:ascii="Calibri" w:hAnsi="Calibri" w:cs="Calibri"/>
        </w:rPr>
        <w:t xml:space="preserve">Detail any approaches the MPO uses to raise the level of awareness about the development of transportation plans and programs (i.e. LRTP, TIP, and other studies) among traditionally underrepresented communities. </w:t>
      </w:r>
      <w:sdt>
        <w:sdtPr>
          <w:id w:val="1091424692"/>
          <w:placeholder>
            <w:docPart w:val="5810B9D66ABE44B386B75889AA426F0E"/>
          </w:placeholder>
        </w:sdtPr>
        <w:sdtEndPr/>
        <w:sdtContent>
          <w:r w:rsidR="00331278">
            <w:t>HATS staff regularly works with and engages regional partners serving or representing those communities and provides translated outreach materials when necessary or appropriate, with the TCRPC website translatable based on the user’s primary language browser setting. With PennDOT assistance, letters to Tribal leadership (mostly out of state) to direct them to the website for information and ask for input during TIP development. More information can be found in the Public Participation Plan 2020 Update (beginning on page 7).</w:t>
          </w:r>
        </w:sdtContent>
      </w:sdt>
    </w:p>
    <w:p w14:paraId="34CCB9A0" w14:textId="77777777" w:rsidR="00D44FFC" w:rsidRPr="00D44FFC" w:rsidRDefault="00D44FFC" w:rsidP="00D44FFC">
      <w:pPr>
        <w:kinsoku w:val="0"/>
        <w:overflowPunct w:val="0"/>
        <w:autoSpaceDE w:val="0"/>
        <w:autoSpaceDN w:val="0"/>
        <w:adjustRightInd w:val="0"/>
        <w:spacing w:before="4" w:after="0" w:line="240" w:lineRule="auto"/>
        <w:rPr>
          <w:rFonts w:ascii="Calibri" w:hAnsi="Calibri" w:cs="Calibri"/>
        </w:rPr>
      </w:pPr>
    </w:p>
    <w:p w14:paraId="2CF9F93B" w14:textId="77777777" w:rsidR="00D44FFC" w:rsidRPr="00D44FFC" w:rsidRDefault="00D44FFC" w:rsidP="00D44FFC">
      <w:pPr>
        <w:kinsoku w:val="0"/>
        <w:overflowPunct w:val="0"/>
        <w:autoSpaceDE w:val="0"/>
        <w:autoSpaceDN w:val="0"/>
        <w:adjustRightInd w:val="0"/>
        <w:spacing w:before="1" w:after="0" w:line="240" w:lineRule="auto"/>
        <w:ind w:left="40"/>
        <w:outlineLvl w:val="0"/>
        <w:rPr>
          <w:rFonts w:ascii="Cambria" w:hAnsi="Cambria" w:cs="Cambria"/>
          <w:b/>
          <w:bCs/>
          <w:color w:val="4E81BD"/>
          <w:spacing w:val="-2"/>
          <w:sz w:val="26"/>
          <w:szCs w:val="26"/>
        </w:rPr>
      </w:pPr>
      <w:r w:rsidRPr="00D44FFC">
        <w:rPr>
          <w:rFonts w:ascii="Cambria" w:hAnsi="Cambria" w:cs="Cambria"/>
          <w:b/>
          <w:bCs/>
          <w:color w:val="4E81BD"/>
          <w:spacing w:val="-2"/>
          <w:sz w:val="26"/>
          <w:szCs w:val="26"/>
        </w:rPr>
        <w:lastRenderedPageBreak/>
        <w:t>Employment</w:t>
      </w:r>
    </w:p>
    <w:p w14:paraId="0CDB1890" w14:textId="04E8C49F" w:rsidR="00D44FFC" w:rsidRPr="00D44FFC" w:rsidRDefault="00D44FFC" w:rsidP="00D44FFC">
      <w:pPr>
        <w:numPr>
          <w:ilvl w:val="0"/>
          <w:numId w:val="4"/>
        </w:numPr>
        <w:tabs>
          <w:tab w:val="left" w:pos="759"/>
        </w:tabs>
        <w:kinsoku w:val="0"/>
        <w:overflowPunct w:val="0"/>
        <w:autoSpaceDE w:val="0"/>
        <w:autoSpaceDN w:val="0"/>
        <w:adjustRightInd w:val="0"/>
        <w:spacing w:before="45" w:after="0" w:line="276" w:lineRule="auto"/>
        <w:ind w:left="759" w:right="161" w:hanging="360"/>
        <w:rPr>
          <w:rFonts w:ascii="Calibri" w:hAnsi="Calibri" w:cs="Calibri"/>
        </w:rPr>
      </w:pPr>
      <w:r w:rsidRPr="00D44FFC">
        <w:rPr>
          <w:rFonts w:ascii="Calibri" w:hAnsi="Calibri" w:cs="Calibri"/>
        </w:rPr>
        <w:t>As appropriate,</w:t>
      </w:r>
      <w:r w:rsidRPr="00D44FFC">
        <w:rPr>
          <w:rFonts w:ascii="Calibri" w:hAnsi="Calibri" w:cs="Calibri"/>
          <w:spacing w:val="-1"/>
        </w:rPr>
        <w:t xml:space="preserve"> </w:t>
      </w:r>
      <w:r w:rsidRPr="00D44FFC">
        <w:rPr>
          <w:rFonts w:ascii="Calibri" w:hAnsi="Calibri" w:cs="Calibri"/>
        </w:rPr>
        <w:t>provide</w:t>
      </w:r>
      <w:r w:rsidRPr="00D44FFC">
        <w:rPr>
          <w:rFonts w:ascii="Calibri" w:hAnsi="Calibri" w:cs="Calibri"/>
          <w:spacing w:val="-1"/>
        </w:rPr>
        <w:t xml:space="preserve"> </w:t>
      </w:r>
      <w:r w:rsidRPr="00D44FFC">
        <w:rPr>
          <w:rFonts w:ascii="Calibri" w:hAnsi="Calibri" w:cs="Calibri"/>
        </w:rPr>
        <w:t>a list of any equal employment</w:t>
      </w:r>
      <w:r w:rsidRPr="00D44FFC">
        <w:rPr>
          <w:rFonts w:ascii="Calibri" w:hAnsi="Calibri" w:cs="Calibri"/>
          <w:spacing w:val="-1"/>
        </w:rPr>
        <w:t xml:space="preserve"> </w:t>
      </w:r>
      <w:r w:rsidRPr="00D44FFC">
        <w:rPr>
          <w:rFonts w:ascii="Calibri" w:hAnsi="Calibri" w:cs="Calibri"/>
        </w:rPr>
        <w:t>opportunity complaints received by the MPO or filed with a state or federal agency within the last</w:t>
      </w:r>
      <w:r w:rsidRPr="00D44FFC">
        <w:rPr>
          <w:rFonts w:ascii="Calibri" w:hAnsi="Calibri" w:cs="Calibri"/>
          <w:spacing w:val="-1"/>
        </w:rPr>
        <w:t xml:space="preserve"> </w:t>
      </w:r>
      <w:r w:rsidRPr="00D44FFC">
        <w:rPr>
          <w:rFonts w:ascii="Calibri" w:hAnsi="Calibri" w:cs="Calibri"/>
        </w:rPr>
        <w:t>4 years.</w:t>
      </w:r>
      <w:r w:rsidRPr="00D44FFC">
        <w:rPr>
          <w:rFonts w:ascii="Calibri" w:hAnsi="Calibri" w:cs="Calibri"/>
          <w:spacing w:val="-1"/>
        </w:rPr>
        <w:t xml:space="preserve"> </w:t>
      </w:r>
      <w:r w:rsidRPr="00D44FFC">
        <w:rPr>
          <w:rFonts w:ascii="Calibri" w:hAnsi="Calibri" w:cs="Calibri"/>
        </w:rPr>
        <w:t>(Provide the following in relation to the complaint: name of complainant; nature</w:t>
      </w:r>
      <w:r w:rsidRPr="00D44FFC">
        <w:rPr>
          <w:rFonts w:ascii="Calibri" w:hAnsi="Calibri" w:cs="Calibri"/>
          <w:spacing w:val="-1"/>
        </w:rPr>
        <w:t xml:space="preserve"> </w:t>
      </w:r>
      <w:r w:rsidRPr="00D44FFC">
        <w:rPr>
          <w:rFonts w:ascii="Calibri" w:hAnsi="Calibri" w:cs="Calibri"/>
        </w:rPr>
        <w:t>of the complaint;</w:t>
      </w:r>
      <w:r w:rsidRPr="00D44FFC">
        <w:rPr>
          <w:rFonts w:ascii="Calibri" w:hAnsi="Calibri" w:cs="Calibri"/>
          <w:spacing w:val="-1"/>
        </w:rPr>
        <w:t xml:space="preserve"> </w:t>
      </w:r>
      <w:r w:rsidRPr="00D44FFC">
        <w:rPr>
          <w:rFonts w:ascii="Calibri" w:hAnsi="Calibri" w:cs="Calibri"/>
        </w:rPr>
        <w:t>date filed; disposition and the date of disposition).</w:t>
      </w:r>
      <w:r>
        <w:rPr>
          <w:rFonts w:ascii="Calibri" w:hAnsi="Calibri" w:cs="Calibri"/>
        </w:rPr>
        <w:t xml:space="preserve"> </w:t>
      </w:r>
      <w:r w:rsidR="00882CA5">
        <w:rPr>
          <w:rFonts w:ascii="Calibri" w:hAnsi="Calibri" w:cs="Calibri"/>
          <w:color w:val="7F7F7F"/>
        </w:rPr>
        <w:t>None received.</w:t>
      </w:r>
    </w:p>
    <w:p w14:paraId="4C4A14C5" w14:textId="28241334" w:rsidR="00D44FFC" w:rsidRPr="00D44FFC" w:rsidRDefault="00D44FFC" w:rsidP="00D44FFC">
      <w:pPr>
        <w:numPr>
          <w:ilvl w:val="0"/>
          <w:numId w:val="4"/>
        </w:numPr>
        <w:tabs>
          <w:tab w:val="left" w:pos="760"/>
        </w:tabs>
        <w:kinsoku w:val="0"/>
        <w:overflowPunct w:val="0"/>
        <w:autoSpaceDE w:val="0"/>
        <w:autoSpaceDN w:val="0"/>
        <w:adjustRightInd w:val="0"/>
        <w:spacing w:after="0" w:line="276" w:lineRule="auto"/>
        <w:ind w:left="760" w:right="377"/>
        <w:rPr>
          <w:rFonts w:ascii="Calibri" w:hAnsi="Calibri" w:cs="Calibri"/>
          <w:color w:val="7F7F7F"/>
        </w:rPr>
      </w:pPr>
      <w:r w:rsidRPr="00D44FFC">
        <w:rPr>
          <w:rFonts w:ascii="Calibri" w:hAnsi="Calibri" w:cs="Calibri"/>
        </w:rPr>
        <w:t>Describe the methods used to ensure candidate pool diversity for employment opportunities with the MPO.</w:t>
      </w:r>
      <w:r w:rsidRPr="00D44FFC">
        <w:rPr>
          <w:rFonts w:ascii="Calibri" w:hAnsi="Calibri" w:cs="Calibri"/>
          <w:spacing w:val="80"/>
        </w:rPr>
        <w:t xml:space="preserve"> </w:t>
      </w:r>
      <w:sdt>
        <w:sdtPr>
          <w:id w:val="-1763990736"/>
          <w:placeholder>
            <w:docPart w:val="D99811B8445A4E42AF2DB15B4082E6CC"/>
          </w:placeholder>
        </w:sdtPr>
        <w:sdtEndPr/>
        <w:sdtContent>
          <w:r w:rsidR="00BF5B3E">
            <w:t>TCRPC advertises all positions for a period of at least 4 weeks. Employment opportunities are advertised on the TCRPC website and its social media; posted on the PA Planning Association (and APA national) website; distributed to area colleges; and posted on the Harrisburg Regional Chamber’s job board. TCRPC staff also help spread the word of job availability through their professional and social contacts.</w:t>
          </w:r>
        </w:sdtContent>
      </w:sdt>
    </w:p>
    <w:p w14:paraId="510B95D8" w14:textId="77777777" w:rsidR="00D44FFC" w:rsidRPr="00D44FFC" w:rsidRDefault="00D44FFC" w:rsidP="00D44FFC">
      <w:pPr>
        <w:kinsoku w:val="0"/>
        <w:overflowPunct w:val="0"/>
        <w:autoSpaceDE w:val="0"/>
        <w:autoSpaceDN w:val="0"/>
        <w:adjustRightInd w:val="0"/>
        <w:spacing w:before="5" w:after="0" w:line="240" w:lineRule="auto"/>
        <w:rPr>
          <w:rFonts w:ascii="Calibri" w:hAnsi="Calibri" w:cs="Calibri"/>
        </w:rPr>
      </w:pPr>
    </w:p>
    <w:p w14:paraId="448055DC" w14:textId="77777777" w:rsidR="00D44FFC" w:rsidRPr="00D44FFC" w:rsidRDefault="00D44FFC" w:rsidP="00D44FFC">
      <w:pPr>
        <w:kinsoku w:val="0"/>
        <w:overflowPunct w:val="0"/>
        <w:autoSpaceDE w:val="0"/>
        <w:autoSpaceDN w:val="0"/>
        <w:adjustRightInd w:val="0"/>
        <w:spacing w:after="0" w:line="240" w:lineRule="auto"/>
        <w:ind w:left="40"/>
        <w:outlineLvl w:val="0"/>
        <w:rPr>
          <w:rFonts w:ascii="Cambria" w:hAnsi="Cambria" w:cs="Cambria"/>
          <w:b/>
          <w:bCs/>
          <w:color w:val="4E81BD"/>
          <w:sz w:val="26"/>
          <w:szCs w:val="26"/>
        </w:rPr>
      </w:pPr>
      <w:r w:rsidRPr="00D44FFC">
        <w:rPr>
          <w:rFonts w:ascii="Cambria" w:hAnsi="Cambria" w:cs="Cambria"/>
          <w:b/>
          <w:bCs/>
          <w:color w:val="4E81BD"/>
          <w:sz w:val="26"/>
          <w:szCs w:val="26"/>
        </w:rPr>
        <w:t>Environmental Justice</w:t>
      </w:r>
    </w:p>
    <w:p w14:paraId="0A6AC353" w14:textId="4E822DC7" w:rsidR="00D44FFC" w:rsidRPr="00D44FFC" w:rsidRDefault="00D44FFC" w:rsidP="00D44FFC">
      <w:pPr>
        <w:numPr>
          <w:ilvl w:val="0"/>
          <w:numId w:val="3"/>
        </w:numPr>
        <w:tabs>
          <w:tab w:val="left" w:pos="759"/>
        </w:tabs>
        <w:kinsoku w:val="0"/>
        <w:overflowPunct w:val="0"/>
        <w:autoSpaceDE w:val="0"/>
        <w:autoSpaceDN w:val="0"/>
        <w:adjustRightInd w:val="0"/>
        <w:spacing w:before="46" w:after="0" w:line="276" w:lineRule="auto"/>
        <w:ind w:left="759" w:right="163" w:hanging="360"/>
        <w:rPr>
          <w:rFonts w:ascii="Calibri" w:hAnsi="Calibri" w:cs="Calibri"/>
          <w:color w:val="7F7F7F"/>
        </w:rPr>
      </w:pPr>
      <w:r w:rsidRPr="00D44FFC">
        <w:rPr>
          <w:rFonts w:ascii="Calibri" w:hAnsi="Calibri" w:cs="Calibri"/>
        </w:rPr>
        <w:t>Describe the methods the MPO uses to ensure that environmental or human health impacts on minority populations and low‐income populations are given explicit consideration during the transportation planning process.</w:t>
      </w:r>
      <w:r w:rsidRPr="00D44FFC">
        <w:rPr>
          <w:rFonts w:ascii="Calibri" w:hAnsi="Calibri" w:cs="Calibri"/>
          <w:spacing w:val="40"/>
        </w:rPr>
        <w:t xml:space="preserve"> </w:t>
      </w:r>
      <w:sdt>
        <w:sdtPr>
          <w:id w:val="-2081663126"/>
          <w:placeholder>
            <w:docPart w:val="E5B064F828DA4BDB9B2611D4DCE64477"/>
          </w:placeholder>
        </w:sdtPr>
        <w:sdtEndPr/>
        <w:sdtContent>
          <w:r w:rsidR="00665F2E">
            <w:t xml:space="preserve">HATS staff is implementing the Core Elements identified in the </w:t>
          </w:r>
          <w:proofErr w:type="gramStart"/>
          <w:r w:rsidR="00665F2E">
            <w:t>South Central</w:t>
          </w:r>
          <w:proofErr w:type="gramEnd"/>
          <w:r w:rsidR="00665F2E">
            <w:t xml:space="preserve"> Pennsylvania Environmental Justice Unified Process and Methodology Guide through the analyses done as part of the most recent updates to the HATS TIP and </w:t>
          </w:r>
          <w:r w:rsidR="00AF5717">
            <w:t>the upcoming 2050</w:t>
          </w:r>
          <w:r w:rsidR="00665F2E">
            <w:t xml:space="preserve"> Regional Transportation Plan. Included are analyses of current conditions and performance of the transportation system related to both concentrations and distribution of environmental justice populations, as well as both qualitative and quantitative evaluations of the benefits and burdens of the transportation programs. </w:t>
          </w:r>
        </w:sdtContent>
      </w:sdt>
    </w:p>
    <w:p w14:paraId="3CD3F7EE" w14:textId="0B276BFD" w:rsidR="00D44FFC" w:rsidRPr="00D44FFC" w:rsidRDefault="00D44FFC" w:rsidP="00D44FFC">
      <w:pPr>
        <w:numPr>
          <w:ilvl w:val="0"/>
          <w:numId w:val="3"/>
        </w:numPr>
        <w:tabs>
          <w:tab w:val="left" w:pos="759"/>
        </w:tabs>
        <w:kinsoku w:val="0"/>
        <w:overflowPunct w:val="0"/>
        <w:autoSpaceDE w:val="0"/>
        <w:autoSpaceDN w:val="0"/>
        <w:adjustRightInd w:val="0"/>
        <w:spacing w:after="0" w:line="276" w:lineRule="auto"/>
        <w:ind w:left="759" w:right="344"/>
        <w:rPr>
          <w:rFonts w:ascii="Calibri" w:hAnsi="Calibri" w:cs="Calibri"/>
          <w:color w:val="7F7F7F"/>
        </w:rPr>
      </w:pPr>
      <w:r w:rsidRPr="00D44FFC">
        <w:rPr>
          <w:rFonts w:ascii="Calibri" w:hAnsi="Calibri" w:cs="Calibri"/>
        </w:rPr>
        <w:t>Describe the efforts taken by the MPO to develop or expand opportunities for public involvement among minority and low‐income populations during the transportation planning process.</w:t>
      </w:r>
      <w:r w:rsidRPr="00D44FFC">
        <w:rPr>
          <w:rFonts w:ascii="Calibri" w:hAnsi="Calibri" w:cs="Calibri"/>
          <w:spacing w:val="40"/>
        </w:rPr>
        <w:t xml:space="preserve"> </w:t>
      </w:r>
      <w:sdt>
        <w:sdtPr>
          <w:id w:val="1244299321"/>
          <w:placeholder>
            <w:docPart w:val="EB4B74790AA842B0B2AEAB0F1D5F2CE3"/>
          </w:placeholder>
        </w:sdtPr>
        <w:sdtEndPr/>
        <w:sdtContent>
          <w:r w:rsidR="00665F2E">
            <w:t>HATS uses physical, in-person meetings, as well as extensive social media outreach and a greater emphasis on virtual online meetings for all transportation plans and programs.   As mentioned previously, HATS also has a</w:t>
          </w:r>
          <w:r w:rsidR="00AF5717">
            <w:t>n email</w:t>
          </w:r>
          <w:r w:rsidR="00665F2E">
            <w:t xml:space="preserve"> database that includes non-profit organizations from across our region, many of which focus on low income and minority-focused activities, and this database is used during the public involvement phases of our planning efforts. Please see Public Participation Plan 2020 Update for more detailed information.</w:t>
          </w:r>
        </w:sdtContent>
      </w:sdt>
    </w:p>
    <w:p w14:paraId="2ADB48D1" w14:textId="3B861C71" w:rsidR="00D44FFC" w:rsidRPr="00D44FFC" w:rsidRDefault="00D44FFC" w:rsidP="00D44FFC">
      <w:pPr>
        <w:numPr>
          <w:ilvl w:val="0"/>
          <w:numId w:val="3"/>
        </w:numPr>
        <w:tabs>
          <w:tab w:val="left" w:pos="759"/>
        </w:tabs>
        <w:kinsoku w:val="0"/>
        <w:overflowPunct w:val="0"/>
        <w:autoSpaceDE w:val="0"/>
        <w:autoSpaceDN w:val="0"/>
        <w:adjustRightInd w:val="0"/>
        <w:spacing w:after="0" w:line="276" w:lineRule="auto"/>
        <w:ind w:left="759" w:right="103" w:hanging="360"/>
        <w:rPr>
          <w:rFonts w:ascii="Calibri" w:hAnsi="Calibri" w:cs="Calibri"/>
          <w:color w:val="7F7F7F"/>
        </w:rPr>
      </w:pPr>
      <w:r w:rsidRPr="00D44FFC">
        <w:rPr>
          <w:rFonts w:ascii="Calibri" w:hAnsi="Calibri" w:cs="Calibri"/>
        </w:rPr>
        <w:t xml:space="preserve">Describe the methods used by the MPO to provide access to public information concerning environmental or human health impacts of proposed transportation planning actions. </w:t>
      </w:r>
      <w:sdt>
        <w:sdtPr>
          <w:id w:val="623506918"/>
          <w:placeholder>
            <w:docPart w:val="C361ABE40A5444DC822A1B0A047598E2"/>
          </w:placeholder>
        </w:sdtPr>
        <w:sdtEndPr/>
        <w:sdtContent>
          <w:sdt>
            <w:sdtPr>
              <w:id w:val="1885831174"/>
              <w:placeholder>
                <w:docPart w:val="DCB83777DAE1408CAAAFDA229FE2C205"/>
              </w:placeholder>
            </w:sdtPr>
            <w:sdtEndPr/>
            <w:sdtContent>
              <w:r w:rsidR="009C7BF4">
                <w:t xml:space="preserve">As </w:t>
              </w:r>
              <w:r w:rsidR="009C7BF4" w:rsidRPr="00C03173">
                <w:t xml:space="preserve">HATS staff </w:t>
              </w:r>
              <w:r w:rsidR="009C7BF4">
                <w:t xml:space="preserve">implements </w:t>
              </w:r>
              <w:r w:rsidR="009C7BF4" w:rsidRPr="00C03173">
                <w:t>the Core Elements identified in the South Central Pennsylvania Environmental Justice Unified Process and Methodology Guide</w:t>
              </w:r>
              <w:r w:rsidR="009C7BF4">
                <w:t>, a major focus is placed on interactive web-mapping, a focus that is shared by many of the plans and programs (including TIP and RTP outreach). This is in addition to the strategies and methods laid out in the Public Participation Plan 2020 Update.</w:t>
              </w:r>
            </w:sdtContent>
          </w:sdt>
          <w:r w:rsidR="009C7BF4">
            <w:t xml:space="preserve"> </w:t>
          </w:r>
        </w:sdtContent>
      </w:sdt>
    </w:p>
    <w:p w14:paraId="39854E39" w14:textId="1C08BE3B" w:rsidR="00D44FFC" w:rsidRPr="00D44FFC" w:rsidRDefault="00D44FFC" w:rsidP="00D44FFC">
      <w:pPr>
        <w:numPr>
          <w:ilvl w:val="0"/>
          <w:numId w:val="3"/>
        </w:numPr>
        <w:tabs>
          <w:tab w:val="left" w:pos="759"/>
        </w:tabs>
        <w:kinsoku w:val="0"/>
        <w:overflowPunct w:val="0"/>
        <w:autoSpaceDE w:val="0"/>
        <w:autoSpaceDN w:val="0"/>
        <w:adjustRightInd w:val="0"/>
        <w:spacing w:after="0" w:line="276" w:lineRule="auto"/>
        <w:ind w:left="759" w:right="377"/>
        <w:rPr>
          <w:rFonts w:ascii="Calibri" w:hAnsi="Calibri" w:cs="Calibri"/>
          <w:color w:val="7F7F7F"/>
        </w:rPr>
      </w:pPr>
      <w:r w:rsidRPr="00D44FFC">
        <w:rPr>
          <w:rFonts w:ascii="Calibri" w:hAnsi="Calibri" w:cs="Calibri"/>
        </w:rPr>
        <w:t xml:space="preserve">Describe the MPOs process for identifying and evaluating environmental, public health, and interrelated social and economic effects of its transportation planning activities. </w:t>
      </w:r>
      <w:sdt>
        <w:sdtPr>
          <w:id w:val="2018808433"/>
          <w:placeholder>
            <w:docPart w:val="63F83301C8274AF8946FBC25B37645C7"/>
          </w:placeholder>
        </w:sdtPr>
        <w:sdtEndPr/>
        <w:sdtContent>
          <w:sdt>
            <w:sdtPr>
              <w:id w:val="1608617603"/>
              <w:placeholder>
                <w:docPart w:val="91C5F9CC5D314215810C7966B26032EE"/>
              </w:placeholder>
            </w:sdtPr>
            <w:sdtEndPr/>
            <w:sdtContent>
              <w:sdt>
                <w:sdtPr>
                  <w:id w:val="709691818"/>
                  <w:placeholder>
                    <w:docPart w:val="798B8DC7C3D8442986F581CEF0CC7087"/>
                  </w:placeholder>
                </w:sdtPr>
                <w:sdtEndPr/>
                <w:sdtContent>
                  <w:r w:rsidR="00327410" w:rsidRPr="003E33C6">
                    <w:t xml:space="preserve">HATS staff is implementing the Core Elements identified in the South Central Pennsylvania Environmental Justice Unified Process and Methodology Guide through the analyses done as part of </w:t>
                  </w:r>
                  <w:r w:rsidR="00327410">
                    <w:t>its</w:t>
                  </w:r>
                  <w:r w:rsidR="00327410" w:rsidRPr="003E33C6">
                    <w:t xml:space="preserve"> TIP</w:t>
                  </w:r>
                  <w:r w:rsidR="00327410">
                    <w:t xml:space="preserve"> </w:t>
                  </w:r>
                  <w:r w:rsidR="00327410" w:rsidRPr="003E33C6">
                    <w:t>and 2045 Regional Transportation Plan</w:t>
                  </w:r>
                  <w:r w:rsidR="00327410">
                    <w:t xml:space="preserve"> updates</w:t>
                  </w:r>
                  <w:r w:rsidR="00327410" w:rsidRPr="003E33C6">
                    <w:t xml:space="preserve">. Included are analyses of current conditions and performance of the transportation system related to both concentrations and </w:t>
                  </w:r>
                  <w:r w:rsidR="00327410" w:rsidRPr="003E33C6">
                    <w:lastRenderedPageBreak/>
                    <w:t>distribution of environmental justice populations, as well as both qualitative and quantitative evalua</w:t>
                  </w:r>
                  <w:r w:rsidR="00327410">
                    <w:t>ti</w:t>
                  </w:r>
                  <w:r w:rsidR="00327410" w:rsidRPr="003E33C6">
                    <w:t xml:space="preserve">ons of the benefits and burdens of the transportation programs. </w:t>
                  </w:r>
                </w:sdtContent>
              </w:sdt>
            </w:sdtContent>
          </w:sdt>
        </w:sdtContent>
      </w:sdt>
    </w:p>
    <w:p w14:paraId="4A16A172" w14:textId="77777777" w:rsidR="00D44FFC" w:rsidRPr="00D44FFC" w:rsidRDefault="00D44FFC" w:rsidP="00D44FFC">
      <w:pPr>
        <w:numPr>
          <w:ilvl w:val="0"/>
          <w:numId w:val="3"/>
        </w:numPr>
        <w:tabs>
          <w:tab w:val="left" w:pos="759"/>
        </w:tabs>
        <w:kinsoku w:val="0"/>
        <w:overflowPunct w:val="0"/>
        <w:autoSpaceDE w:val="0"/>
        <w:autoSpaceDN w:val="0"/>
        <w:adjustRightInd w:val="0"/>
        <w:spacing w:after="0" w:line="276" w:lineRule="auto"/>
        <w:ind w:left="759" w:right="117" w:hanging="360"/>
        <w:rPr>
          <w:rFonts w:ascii="Calibri" w:hAnsi="Calibri" w:cs="Calibri"/>
        </w:rPr>
      </w:pPr>
      <w:r w:rsidRPr="00D44FFC">
        <w:rPr>
          <w:rFonts w:ascii="Calibri" w:hAnsi="Calibri" w:cs="Calibri"/>
        </w:rPr>
        <w:t>Attach a breakdown of the present and proposed memberships of any transportation planning or advisory committees of the MPO (by gender, race, national origin, and known representation</w:t>
      </w:r>
    </w:p>
    <w:p w14:paraId="5A5CBF79" w14:textId="3612DC1A" w:rsidR="00020B85" w:rsidRDefault="00D44FFC" w:rsidP="004564C2">
      <w:pPr>
        <w:kinsoku w:val="0"/>
        <w:overflowPunct w:val="0"/>
        <w:autoSpaceDE w:val="0"/>
        <w:autoSpaceDN w:val="0"/>
        <w:adjustRightInd w:val="0"/>
        <w:spacing w:after="0" w:line="240" w:lineRule="auto"/>
        <w:ind w:left="810"/>
        <w:rPr>
          <w:rFonts w:ascii="Calibri" w:hAnsi="Calibri" w:cs="Calibri"/>
          <w:color w:val="7F7F7F"/>
        </w:rPr>
      </w:pPr>
      <w:r w:rsidRPr="00D44FFC">
        <w:rPr>
          <w:rFonts w:ascii="Calibri" w:hAnsi="Calibri" w:cs="Calibri"/>
        </w:rPr>
        <w:t>of a specific interest group (e.g., disabled community).</w:t>
      </w:r>
      <w:r>
        <w:rPr>
          <w:rFonts w:ascii="Calibri" w:hAnsi="Calibri" w:cs="Calibri"/>
        </w:rPr>
        <w:t xml:space="preserve"> </w:t>
      </w:r>
      <w:r>
        <w:rPr>
          <w:rFonts w:ascii="Calibri" w:hAnsi="Calibri" w:cs="Calibri"/>
          <w:color w:val="7F7F7F"/>
        </w:rPr>
        <w:t>Enter</w:t>
      </w:r>
      <w:r w:rsidRPr="00D44FFC">
        <w:rPr>
          <w:rFonts w:ascii="Calibri" w:hAnsi="Calibri" w:cs="Calibri"/>
          <w:color w:val="7F7F7F"/>
        </w:rPr>
        <w:t xml:space="preserve"> text.</w:t>
      </w:r>
    </w:p>
    <w:p w14:paraId="6D9A510A" w14:textId="77777777" w:rsidR="004564C2" w:rsidRDefault="004564C2" w:rsidP="00D44FFC">
      <w:pPr>
        <w:kinsoku w:val="0"/>
        <w:overflowPunct w:val="0"/>
        <w:autoSpaceDE w:val="0"/>
        <w:autoSpaceDN w:val="0"/>
        <w:adjustRightInd w:val="0"/>
        <w:spacing w:after="0" w:line="240" w:lineRule="auto"/>
        <w:ind w:left="40"/>
        <w:outlineLvl w:val="0"/>
        <w:rPr>
          <w:rFonts w:ascii="Calibri" w:hAnsi="Calibri" w:cs="Calibri"/>
        </w:rPr>
      </w:pPr>
    </w:p>
    <w:p w14:paraId="7FBAB113" w14:textId="77777777" w:rsidR="004564C2" w:rsidRDefault="004564C2">
      <w:pPr>
        <w:rPr>
          <w:rFonts w:ascii="Calibri" w:hAnsi="Calibri" w:cs="Calibri"/>
        </w:rPr>
      </w:pPr>
      <w:r>
        <w:rPr>
          <w:rFonts w:ascii="Calibri" w:hAnsi="Calibri" w:cs="Calibri"/>
        </w:rPr>
        <w:br w:type="page"/>
      </w:r>
    </w:p>
    <w:p w14:paraId="0AE34C69" w14:textId="5423E2A5" w:rsidR="00D44FFC" w:rsidRPr="00D44FFC" w:rsidRDefault="00D44FFC" w:rsidP="00D44FFC">
      <w:pPr>
        <w:kinsoku w:val="0"/>
        <w:overflowPunct w:val="0"/>
        <w:autoSpaceDE w:val="0"/>
        <w:autoSpaceDN w:val="0"/>
        <w:adjustRightInd w:val="0"/>
        <w:spacing w:after="0" w:line="240" w:lineRule="auto"/>
        <w:ind w:left="40"/>
        <w:outlineLvl w:val="0"/>
        <w:rPr>
          <w:rFonts w:ascii="Cambria" w:hAnsi="Cambria" w:cs="Cambria"/>
          <w:b/>
          <w:bCs/>
          <w:color w:val="4E81BD"/>
          <w:spacing w:val="-4"/>
          <w:sz w:val="26"/>
          <w:szCs w:val="26"/>
        </w:rPr>
      </w:pPr>
      <w:r w:rsidRPr="00D44FFC">
        <w:rPr>
          <w:rFonts w:ascii="Cambria" w:hAnsi="Cambria" w:cs="Cambria"/>
          <w:b/>
          <w:bCs/>
          <w:color w:val="4E81BD"/>
          <w:spacing w:val="-4"/>
          <w:sz w:val="26"/>
          <w:szCs w:val="26"/>
        </w:rPr>
        <w:lastRenderedPageBreak/>
        <w:t>DBE</w:t>
      </w:r>
    </w:p>
    <w:p w14:paraId="4CF71A61" w14:textId="65339DAE" w:rsidR="00D44FFC" w:rsidRPr="00D44FFC" w:rsidRDefault="00D44FFC" w:rsidP="00D44FFC">
      <w:pPr>
        <w:numPr>
          <w:ilvl w:val="0"/>
          <w:numId w:val="2"/>
        </w:numPr>
        <w:tabs>
          <w:tab w:val="left" w:pos="759"/>
        </w:tabs>
        <w:kinsoku w:val="0"/>
        <w:overflowPunct w:val="0"/>
        <w:autoSpaceDE w:val="0"/>
        <w:autoSpaceDN w:val="0"/>
        <w:adjustRightInd w:val="0"/>
        <w:spacing w:after="0" w:line="276" w:lineRule="auto"/>
        <w:ind w:left="759" w:right="414" w:hanging="360"/>
        <w:rPr>
          <w:rFonts w:ascii="Calibri" w:hAnsi="Calibri" w:cs="Calibri"/>
          <w:color w:val="7F7F7F"/>
        </w:rPr>
      </w:pPr>
      <w:r w:rsidRPr="00D44FFC">
        <w:rPr>
          <w:rFonts w:ascii="Calibri" w:hAnsi="Calibri" w:cs="Calibri"/>
        </w:rPr>
        <w:t xml:space="preserve">Describe the efforts used by the MPO to facilitate participation by small businesses, DBE and non‐DBE firms, in in contracting and procurement activities. </w:t>
      </w:r>
      <w:sdt>
        <w:sdtPr>
          <w:id w:val="205074893"/>
          <w:placeholder>
            <w:docPart w:val="CAF21F2B2E6741818A25A59AA56A466D"/>
          </w:placeholder>
        </w:sdtPr>
        <w:sdtEndPr/>
        <w:sdtContent>
          <w:r w:rsidR="00501712">
            <w:t>In the letter to announce award of federal funding to successful applicants, the next steps forward with the project contracting includes information about DBE involvement in RFP advertising as well as any subcontracting. Links to the PA UCP website, any specific DBE goals, as well as contract language for the project are included.</w:t>
          </w:r>
        </w:sdtContent>
      </w:sdt>
    </w:p>
    <w:p w14:paraId="3EBBEAF5" w14:textId="7ADDB987" w:rsidR="00D44FFC" w:rsidRPr="00D44FFC" w:rsidRDefault="00D44FFC" w:rsidP="00D44FFC">
      <w:pPr>
        <w:numPr>
          <w:ilvl w:val="0"/>
          <w:numId w:val="2"/>
        </w:numPr>
        <w:tabs>
          <w:tab w:val="left" w:pos="759"/>
        </w:tabs>
        <w:kinsoku w:val="0"/>
        <w:overflowPunct w:val="0"/>
        <w:autoSpaceDE w:val="0"/>
        <w:autoSpaceDN w:val="0"/>
        <w:adjustRightInd w:val="0"/>
        <w:spacing w:after="0" w:line="276" w:lineRule="auto"/>
        <w:ind w:left="759" w:right="104" w:hanging="360"/>
        <w:rPr>
          <w:rFonts w:ascii="Calibri" w:hAnsi="Calibri" w:cs="Calibri"/>
          <w:color w:val="7F7F7F"/>
        </w:rPr>
      </w:pPr>
      <w:r w:rsidRPr="00D44FFC">
        <w:rPr>
          <w:rFonts w:ascii="Calibri" w:hAnsi="Calibri" w:cs="Calibri"/>
        </w:rPr>
        <w:t>Describe how the MPO ensures that work committed to DBEs is performed by the DBE to whom the work is committed.</w:t>
      </w:r>
      <w:r w:rsidRPr="00D44FFC">
        <w:rPr>
          <w:rFonts w:ascii="Calibri" w:hAnsi="Calibri" w:cs="Calibri"/>
          <w:spacing w:val="40"/>
        </w:rPr>
        <w:t xml:space="preserve"> </w:t>
      </w:r>
      <w:sdt>
        <w:sdtPr>
          <w:id w:val="506336834"/>
          <w:placeholder>
            <w:docPart w:val="F75156C0A1384D12A293FE4023CEA38A"/>
          </w:placeholder>
        </w:sdtPr>
        <w:sdtEndPr/>
        <w:sdtContent>
          <w:r w:rsidR="00501712">
            <w:t>Work scopes and invoicing procedures require listing of DBEs involvement, work completed by DBEs, and copies of invoices submitted from DBEs for payment. Some contractors provide copies of cancelled checks of their payments with their invoices, while others pay DBEs after reimbursement from TCRPC.</w:t>
          </w:r>
        </w:sdtContent>
      </w:sdt>
    </w:p>
    <w:p w14:paraId="4A318C2D" w14:textId="71654628" w:rsidR="00D44FFC" w:rsidRPr="00D44FFC" w:rsidRDefault="00D44FFC" w:rsidP="00D44FFC">
      <w:pPr>
        <w:numPr>
          <w:ilvl w:val="0"/>
          <w:numId w:val="2"/>
        </w:numPr>
        <w:tabs>
          <w:tab w:val="left" w:pos="759"/>
        </w:tabs>
        <w:kinsoku w:val="0"/>
        <w:overflowPunct w:val="0"/>
        <w:autoSpaceDE w:val="0"/>
        <w:autoSpaceDN w:val="0"/>
        <w:adjustRightInd w:val="0"/>
        <w:spacing w:after="0" w:line="276" w:lineRule="auto"/>
        <w:ind w:left="759" w:right="265" w:hanging="360"/>
        <w:rPr>
          <w:rFonts w:ascii="Calibri" w:hAnsi="Calibri" w:cs="Calibri"/>
          <w:color w:val="7F7F7F"/>
        </w:rPr>
      </w:pPr>
      <w:r w:rsidRPr="00D44FFC">
        <w:rPr>
          <w:rFonts w:ascii="Calibri" w:hAnsi="Calibri" w:cs="Calibri"/>
        </w:rPr>
        <w:t xml:space="preserve">Describe how the MPO assures that contractors promptly pay and return any retainage due to subcontractors. </w:t>
      </w:r>
      <w:sdt>
        <w:sdtPr>
          <w:id w:val="1262795586"/>
          <w:placeholder>
            <w:docPart w:val="C9D03ECB96BE488792CE3ECAD054D977"/>
          </w:placeholder>
        </w:sdtPr>
        <w:sdtEndPr/>
        <w:sdtContent>
          <w:r w:rsidR="00501712">
            <w:t>TCRPC has no process in place to track a contractor’s payments to subcontractors. There have been no complaints to date to indicate this is an issue.</w:t>
          </w:r>
        </w:sdtContent>
      </w:sdt>
    </w:p>
    <w:p w14:paraId="69DB65A6" w14:textId="484630EE" w:rsidR="00D44FFC" w:rsidRPr="00D44FFC" w:rsidRDefault="00D44FFC" w:rsidP="00D44FFC">
      <w:pPr>
        <w:numPr>
          <w:ilvl w:val="0"/>
          <w:numId w:val="2"/>
        </w:numPr>
        <w:tabs>
          <w:tab w:val="left" w:pos="759"/>
        </w:tabs>
        <w:kinsoku w:val="0"/>
        <w:overflowPunct w:val="0"/>
        <w:autoSpaceDE w:val="0"/>
        <w:autoSpaceDN w:val="0"/>
        <w:adjustRightInd w:val="0"/>
        <w:spacing w:after="0" w:line="276" w:lineRule="auto"/>
        <w:ind w:left="759" w:right="303" w:hanging="360"/>
        <w:rPr>
          <w:rFonts w:ascii="Calibri" w:hAnsi="Calibri" w:cs="Calibri"/>
          <w:color w:val="7F7F7F"/>
        </w:rPr>
      </w:pPr>
      <w:r w:rsidRPr="00D44FFC">
        <w:rPr>
          <w:rFonts w:ascii="Calibri" w:hAnsi="Calibri" w:cs="Calibri"/>
        </w:rPr>
        <w:t xml:space="preserve">Describe the mechanism the MPO utilizes to track and report actual DBE payments during the duration of a contract. </w:t>
      </w:r>
      <w:sdt>
        <w:sdtPr>
          <w:id w:val="1551956328"/>
          <w:placeholder>
            <w:docPart w:val="7AE78F6DC4524717BB81C3F9EC2B3977"/>
          </w:placeholder>
        </w:sdtPr>
        <w:sdtEndPr/>
        <w:sdtContent>
          <w:r w:rsidR="00501712">
            <w:t>TCRPC provides an invoicing format which separates amounts invoiced by DBEs. TCRPC tracks each invoice received for each project on a spreadsheet and notes the amount and percentage invoiced for any DBE. If copies of checks the DBEs are included with the invoice, it is known the DBE has been paid already.</w:t>
          </w:r>
        </w:sdtContent>
      </w:sdt>
    </w:p>
    <w:p w14:paraId="20D78033" w14:textId="77777777" w:rsidR="00D44FFC" w:rsidRPr="00D44FFC" w:rsidRDefault="00D44FFC" w:rsidP="00D44FFC">
      <w:pPr>
        <w:kinsoku w:val="0"/>
        <w:overflowPunct w:val="0"/>
        <w:autoSpaceDE w:val="0"/>
        <w:autoSpaceDN w:val="0"/>
        <w:adjustRightInd w:val="0"/>
        <w:spacing w:after="0" w:line="240" w:lineRule="auto"/>
        <w:rPr>
          <w:rFonts w:ascii="Calibri" w:hAnsi="Calibri" w:cs="Calibri"/>
        </w:rPr>
      </w:pPr>
    </w:p>
    <w:p w14:paraId="065DF7C7" w14:textId="77777777" w:rsidR="00D44FFC" w:rsidRPr="00D44FFC" w:rsidRDefault="00D44FFC" w:rsidP="00D44FFC">
      <w:pPr>
        <w:kinsoku w:val="0"/>
        <w:overflowPunct w:val="0"/>
        <w:autoSpaceDE w:val="0"/>
        <w:autoSpaceDN w:val="0"/>
        <w:adjustRightInd w:val="0"/>
        <w:spacing w:after="0" w:line="240" w:lineRule="auto"/>
        <w:ind w:left="40"/>
        <w:outlineLvl w:val="0"/>
        <w:rPr>
          <w:rFonts w:ascii="Cambria" w:hAnsi="Cambria" w:cs="Cambria"/>
          <w:b/>
          <w:bCs/>
          <w:color w:val="4E81BD"/>
          <w:spacing w:val="-4"/>
          <w:sz w:val="26"/>
          <w:szCs w:val="26"/>
        </w:rPr>
      </w:pPr>
      <w:r w:rsidRPr="00D44FFC">
        <w:rPr>
          <w:rFonts w:ascii="Cambria" w:hAnsi="Cambria" w:cs="Cambria"/>
          <w:b/>
          <w:bCs/>
          <w:color w:val="4E81BD"/>
          <w:spacing w:val="-4"/>
          <w:sz w:val="26"/>
          <w:szCs w:val="26"/>
        </w:rPr>
        <w:t>ADA</w:t>
      </w:r>
    </w:p>
    <w:p w14:paraId="5DF73933" w14:textId="12E3B399" w:rsidR="00D44FFC" w:rsidRPr="00D44FFC" w:rsidRDefault="00D44FFC" w:rsidP="00D44FFC">
      <w:pPr>
        <w:numPr>
          <w:ilvl w:val="0"/>
          <w:numId w:val="1"/>
        </w:numPr>
        <w:tabs>
          <w:tab w:val="left" w:pos="759"/>
        </w:tabs>
        <w:kinsoku w:val="0"/>
        <w:overflowPunct w:val="0"/>
        <w:autoSpaceDE w:val="0"/>
        <w:autoSpaceDN w:val="0"/>
        <w:adjustRightInd w:val="0"/>
        <w:spacing w:before="46" w:after="0" w:line="276" w:lineRule="auto"/>
        <w:ind w:left="759" w:right="520" w:hanging="360"/>
        <w:rPr>
          <w:rFonts w:ascii="Calibri" w:hAnsi="Calibri" w:cs="Calibri"/>
          <w:color w:val="7F7F7F"/>
        </w:rPr>
      </w:pPr>
      <w:r w:rsidRPr="00D44FFC">
        <w:rPr>
          <w:rFonts w:ascii="Calibri" w:hAnsi="Calibri" w:cs="Calibri"/>
        </w:rPr>
        <w:t xml:space="preserve">Describe the methods used by the MPO to ensure that individuals with disabilities are not excluded from participation in the transportation planning process. </w:t>
      </w:r>
      <w:sdt>
        <w:sdtPr>
          <w:id w:val="-485469628"/>
          <w:placeholder>
            <w:docPart w:val="7DB4CE14B23544E48CBFD5B3130DBDF0"/>
          </w:placeholder>
        </w:sdtPr>
        <w:sdtEndPr/>
        <w:sdtContent>
          <w:r w:rsidR="001C3FD8">
            <w:t>We make sure our meeting places are ADA accessible, accessible by transit, and note in our meeting advertisements those needing special accommodation should contact our office. Contact information is provided. Instructions on how to participate in virtual meetings, and by phone only, are posted on our website and provided in meeting notices. See Public Participation Plan 2020 Update (beginning on page 9 and page 13) for outreach strategies and methods. Information on virtual meetings is included in the Public Participation Plan 2020 Update.  HATS also has an advisory group geared toward mobility issues.</w:t>
          </w:r>
        </w:sdtContent>
      </w:sdt>
    </w:p>
    <w:p w14:paraId="705A444C" w14:textId="7C68BDFC" w:rsidR="00D44FFC" w:rsidRPr="00D44FFC" w:rsidRDefault="00D44FFC" w:rsidP="00D44FFC">
      <w:pPr>
        <w:numPr>
          <w:ilvl w:val="0"/>
          <w:numId w:val="1"/>
        </w:numPr>
        <w:tabs>
          <w:tab w:val="left" w:pos="759"/>
        </w:tabs>
        <w:kinsoku w:val="0"/>
        <w:overflowPunct w:val="0"/>
        <w:autoSpaceDE w:val="0"/>
        <w:autoSpaceDN w:val="0"/>
        <w:adjustRightInd w:val="0"/>
        <w:spacing w:after="0" w:line="276" w:lineRule="auto"/>
        <w:ind w:left="759" w:right="613" w:hanging="360"/>
        <w:rPr>
          <w:rFonts w:ascii="Calibri" w:hAnsi="Calibri" w:cs="Calibri"/>
          <w:color w:val="7F7F7F"/>
        </w:rPr>
      </w:pPr>
      <w:r w:rsidRPr="00D44FFC">
        <w:rPr>
          <w:rFonts w:ascii="Calibri" w:hAnsi="Calibri" w:cs="Calibri"/>
        </w:rPr>
        <w:t xml:space="preserve">Describe the methods used by the MPO to ensure that communications with applicants, employees, beneficiaries and other participants in the transportation planning process are available to persons with vision and hearing impairments. </w:t>
      </w:r>
      <w:sdt>
        <w:sdtPr>
          <w:id w:val="-58168260"/>
          <w:placeholder>
            <w:docPart w:val="18BCB61F5D454BA0AB6CA7742E70C897"/>
          </w:placeholder>
        </w:sdtPr>
        <w:sdtEndPr/>
        <w:sdtContent>
          <w:sdt>
            <w:sdtPr>
              <w:id w:val="2061511872"/>
              <w:placeholder>
                <w:docPart w:val="7EA61297B93744FA82019D6E120D59D6"/>
              </w:placeholder>
            </w:sdtPr>
            <w:sdtEndPr/>
            <w:sdtContent>
              <w:r w:rsidR="001C3FD8" w:rsidRPr="00CF7362">
                <w:t>While our planning process and materials have accommodated persons with disabilities and limited English proficie</w:t>
              </w:r>
              <w:r w:rsidR="001C3FD8">
                <w:t xml:space="preserve">ncy, including </w:t>
              </w:r>
              <w:r w:rsidR="001C3FD8" w:rsidRPr="00CF7362">
                <w:t xml:space="preserve">translations into various languages, we have not employed direct tactile or audible methods. </w:t>
              </w:r>
              <w:r w:rsidR="001C3FD8">
                <w:t xml:space="preserve">Recordings of all meetings are made available on YouTube following the meeting, however. </w:t>
              </w:r>
              <w:r w:rsidR="001C3FD8" w:rsidRPr="00CF7362">
                <w:t xml:space="preserve">We </w:t>
              </w:r>
              <w:r w:rsidR="001C3FD8">
                <w:t>also</w:t>
              </w:r>
              <w:r w:rsidR="001C3FD8" w:rsidRPr="00CF7362">
                <w:t xml:space="preserve"> note in our meeting announcements that those with special needs related to language, sight or hearing, or wish to file a complaint should contact our office and we provide ph</w:t>
              </w:r>
              <w:r w:rsidR="001C3FD8">
                <w:t xml:space="preserve">one </w:t>
              </w:r>
              <w:r w:rsidR="001C3FD8" w:rsidRPr="00CF7362">
                <w:t>and email information to do so.</w:t>
              </w:r>
              <w:r w:rsidR="001C3FD8">
                <w:t xml:space="preserve"> See </w:t>
              </w:r>
              <w:r w:rsidR="000E3E72">
                <w:t>P</w:t>
              </w:r>
              <w:r w:rsidR="001C3FD8">
                <w:t xml:space="preserve">ublic Participation Plan </w:t>
              </w:r>
              <w:r w:rsidR="000E3E72">
                <w:t xml:space="preserve">2020 Update </w:t>
              </w:r>
              <w:r w:rsidR="001C3FD8">
                <w:t>(beginning on page 9 and page 13) for outreach strategies and methods</w:t>
              </w:r>
              <w:r w:rsidR="000E3E72">
                <w:t xml:space="preserve"> and i</w:t>
              </w:r>
              <w:r w:rsidR="001C3FD8">
                <w:t>nformation on virtual meetings.</w:t>
              </w:r>
            </w:sdtContent>
          </w:sdt>
        </w:sdtContent>
      </w:sdt>
    </w:p>
    <w:p w14:paraId="27DEC2F8" w14:textId="0B6E2CE3" w:rsidR="00D44FFC" w:rsidRPr="00D44FFC" w:rsidRDefault="00D44FFC" w:rsidP="00D44FFC">
      <w:pPr>
        <w:numPr>
          <w:ilvl w:val="0"/>
          <w:numId w:val="1"/>
        </w:numPr>
        <w:tabs>
          <w:tab w:val="left" w:pos="759"/>
        </w:tabs>
        <w:kinsoku w:val="0"/>
        <w:overflowPunct w:val="0"/>
        <w:autoSpaceDE w:val="0"/>
        <w:autoSpaceDN w:val="0"/>
        <w:adjustRightInd w:val="0"/>
        <w:spacing w:after="0" w:line="276" w:lineRule="auto"/>
        <w:ind w:left="759" w:right="123" w:hanging="360"/>
        <w:rPr>
          <w:rFonts w:ascii="Calibri" w:hAnsi="Calibri" w:cs="Calibri"/>
        </w:rPr>
      </w:pPr>
      <w:r w:rsidRPr="00D44FFC">
        <w:rPr>
          <w:rFonts w:ascii="Calibri" w:hAnsi="Calibri" w:cs="Calibri"/>
        </w:rPr>
        <w:t xml:space="preserve">Describe the methods used by the MPO to ensure that individuals with disabilities are not denied an opportunity to participate </w:t>
      </w:r>
      <w:proofErr w:type="gramStart"/>
      <w:r w:rsidRPr="00D44FFC">
        <w:rPr>
          <w:rFonts w:ascii="Calibri" w:hAnsi="Calibri" w:cs="Calibri"/>
        </w:rPr>
        <w:t>on</w:t>
      </w:r>
      <w:proofErr w:type="gramEnd"/>
      <w:r w:rsidRPr="00D44FFC">
        <w:rPr>
          <w:rFonts w:ascii="Calibri" w:hAnsi="Calibri" w:cs="Calibri"/>
        </w:rPr>
        <w:t xml:space="preserve"> transportation planning or advisory boards of the MPO.</w:t>
      </w:r>
      <w:r>
        <w:rPr>
          <w:rFonts w:ascii="Calibri" w:hAnsi="Calibri" w:cs="Calibri"/>
        </w:rPr>
        <w:t xml:space="preserve"> </w:t>
      </w:r>
      <w:sdt>
        <w:sdtPr>
          <w:id w:val="371042635"/>
          <w:placeholder>
            <w:docPart w:val="4FE3F1738AB04F6EBDC181AC65DE8F4D"/>
          </w:placeholder>
        </w:sdtPr>
        <w:sdtEndPr/>
        <w:sdtContent>
          <w:sdt>
            <w:sdtPr>
              <w:id w:val="594442573"/>
              <w:placeholder>
                <w:docPart w:val="E6700E64E6BD4843AB19C285FC90B673"/>
              </w:placeholder>
            </w:sdtPr>
            <w:sdtEndPr/>
            <w:sdtContent>
              <w:r w:rsidR="00100CC1" w:rsidRPr="00CF7362">
                <w:t xml:space="preserve">The HATS Technical and Coordinating Committees are comprised of representatives from County Commissioner, mayoral, or organization leadership appointment. Staff can make </w:t>
              </w:r>
              <w:r w:rsidR="00100CC1" w:rsidRPr="00CF7362">
                <w:lastRenderedPageBreak/>
                <w:t>recommendations, however, the decision-making authority rests upon others. For other task forces, staff encourages participation based on the focus of the work (bike/ped, freight, etc.), those knowledgeable in that area, and who are interested and willing to take the time to serve on the task force. The goal is to have a wide variety of representation in each task force.</w:t>
              </w:r>
              <w:r w:rsidR="00100CC1">
                <w:t xml:space="preserve"> See Public Participation Plan 2020 Update (beginning on page 9 and page 13) for outreach strategies and methods and information on virtual meetings.</w:t>
              </w:r>
              <w:r w:rsidR="00100CC1" w:rsidRPr="0049235E">
                <w:t xml:space="preserve"> </w:t>
              </w:r>
              <w:r w:rsidR="00100CC1">
                <w:t>HATS also has an advisory group geared toward mobility issues.</w:t>
              </w:r>
            </w:sdtContent>
          </w:sdt>
        </w:sdtContent>
      </w:sdt>
    </w:p>
    <w:p w14:paraId="3463AAAC" w14:textId="77777777" w:rsidR="00B922CF" w:rsidRDefault="00B922CF"/>
    <w:sectPr w:rsidR="00B922CF" w:rsidSect="00353E41">
      <w:type w:val="continuous"/>
      <w:pgSz w:w="12240" w:h="15840"/>
      <w:pgMar w:top="1360" w:right="140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2CA6598C"/>
    <w:lvl w:ilvl="0">
      <w:start w:val="1"/>
      <w:numFmt w:val="decimal"/>
      <w:lvlText w:val="%1."/>
      <w:lvlJc w:val="left"/>
      <w:pPr>
        <w:ind w:left="819" w:hanging="361"/>
      </w:pPr>
      <w:rPr>
        <w:rFonts w:ascii="Calibri" w:hAnsi="Calibri" w:cs="Calibri"/>
        <w:b w:val="0"/>
        <w:bCs w:val="0"/>
        <w:i w:val="0"/>
        <w:iCs w:val="0"/>
        <w:color w:val="auto"/>
        <w:spacing w:val="0"/>
        <w:w w:val="99"/>
        <w:sz w:val="22"/>
        <w:szCs w:val="22"/>
      </w:rPr>
    </w:lvl>
    <w:lvl w:ilvl="1">
      <w:numFmt w:val="bullet"/>
      <w:lvlText w:val="•"/>
      <w:lvlJc w:val="left"/>
      <w:pPr>
        <w:ind w:left="1688" w:hanging="361"/>
      </w:pPr>
    </w:lvl>
    <w:lvl w:ilvl="2">
      <w:numFmt w:val="bullet"/>
      <w:lvlText w:val="•"/>
      <w:lvlJc w:val="left"/>
      <w:pPr>
        <w:ind w:left="2556" w:hanging="361"/>
      </w:pPr>
    </w:lvl>
    <w:lvl w:ilvl="3">
      <w:numFmt w:val="bullet"/>
      <w:lvlText w:val="•"/>
      <w:lvlJc w:val="left"/>
      <w:pPr>
        <w:ind w:left="3424" w:hanging="361"/>
      </w:pPr>
    </w:lvl>
    <w:lvl w:ilvl="4">
      <w:numFmt w:val="bullet"/>
      <w:lvlText w:val="•"/>
      <w:lvlJc w:val="left"/>
      <w:pPr>
        <w:ind w:left="4292" w:hanging="361"/>
      </w:pPr>
    </w:lvl>
    <w:lvl w:ilvl="5">
      <w:numFmt w:val="bullet"/>
      <w:lvlText w:val="•"/>
      <w:lvlJc w:val="left"/>
      <w:pPr>
        <w:ind w:left="5160" w:hanging="361"/>
      </w:pPr>
    </w:lvl>
    <w:lvl w:ilvl="6">
      <w:numFmt w:val="bullet"/>
      <w:lvlText w:val="•"/>
      <w:lvlJc w:val="left"/>
      <w:pPr>
        <w:ind w:left="6028" w:hanging="361"/>
      </w:pPr>
    </w:lvl>
    <w:lvl w:ilvl="7">
      <w:numFmt w:val="bullet"/>
      <w:lvlText w:val="•"/>
      <w:lvlJc w:val="left"/>
      <w:pPr>
        <w:ind w:left="6896" w:hanging="361"/>
      </w:pPr>
    </w:lvl>
    <w:lvl w:ilvl="8">
      <w:numFmt w:val="bullet"/>
      <w:lvlText w:val="•"/>
      <w:lvlJc w:val="left"/>
      <w:pPr>
        <w:ind w:left="7764" w:hanging="361"/>
      </w:pPr>
    </w:lvl>
  </w:abstractNum>
  <w:abstractNum w:abstractNumId="1" w15:restartNumberingAfterBreak="0">
    <w:nsid w:val="00000403"/>
    <w:multiLevelType w:val="multilevel"/>
    <w:tmpl w:val="FAE253D4"/>
    <w:lvl w:ilvl="0">
      <w:start w:val="1"/>
      <w:numFmt w:val="decimal"/>
      <w:lvlText w:val="%1."/>
      <w:lvlJc w:val="left"/>
      <w:pPr>
        <w:ind w:left="819" w:hanging="361"/>
      </w:pPr>
      <w:rPr>
        <w:rFonts w:ascii="Calibri" w:hAnsi="Calibri" w:cs="Calibri"/>
        <w:b w:val="0"/>
        <w:bCs w:val="0"/>
        <w:i w:val="0"/>
        <w:iCs w:val="0"/>
        <w:color w:val="auto"/>
        <w:spacing w:val="0"/>
        <w:w w:val="99"/>
        <w:sz w:val="22"/>
        <w:szCs w:val="22"/>
      </w:rPr>
    </w:lvl>
    <w:lvl w:ilvl="1">
      <w:numFmt w:val="bullet"/>
      <w:lvlText w:val="•"/>
      <w:lvlJc w:val="left"/>
      <w:pPr>
        <w:ind w:left="1688" w:hanging="361"/>
      </w:pPr>
    </w:lvl>
    <w:lvl w:ilvl="2">
      <w:numFmt w:val="bullet"/>
      <w:lvlText w:val="•"/>
      <w:lvlJc w:val="left"/>
      <w:pPr>
        <w:ind w:left="2556" w:hanging="361"/>
      </w:pPr>
    </w:lvl>
    <w:lvl w:ilvl="3">
      <w:numFmt w:val="bullet"/>
      <w:lvlText w:val="•"/>
      <w:lvlJc w:val="left"/>
      <w:pPr>
        <w:ind w:left="3424" w:hanging="361"/>
      </w:pPr>
    </w:lvl>
    <w:lvl w:ilvl="4">
      <w:numFmt w:val="bullet"/>
      <w:lvlText w:val="•"/>
      <w:lvlJc w:val="left"/>
      <w:pPr>
        <w:ind w:left="4292" w:hanging="361"/>
      </w:pPr>
    </w:lvl>
    <w:lvl w:ilvl="5">
      <w:numFmt w:val="bullet"/>
      <w:lvlText w:val="•"/>
      <w:lvlJc w:val="left"/>
      <w:pPr>
        <w:ind w:left="5160" w:hanging="361"/>
      </w:pPr>
    </w:lvl>
    <w:lvl w:ilvl="6">
      <w:numFmt w:val="bullet"/>
      <w:lvlText w:val="•"/>
      <w:lvlJc w:val="left"/>
      <w:pPr>
        <w:ind w:left="6028" w:hanging="361"/>
      </w:pPr>
    </w:lvl>
    <w:lvl w:ilvl="7">
      <w:numFmt w:val="bullet"/>
      <w:lvlText w:val="•"/>
      <w:lvlJc w:val="left"/>
      <w:pPr>
        <w:ind w:left="6896" w:hanging="361"/>
      </w:pPr>
    </w:lvl>
    <w:lvl w:ilvl="8">
      <w:numFmt w:val="bullet"/>
      <w:lvlText w:val="•"/>
      <w:lvlJc w:val="left"/>
      <w:pPr>
        <w:ind w:left="7764" w:hanging="361"/>
      </w:pPr>
    </w:lvl>
  </w:abstractNum>
  <w:abstractNum w:abstractNumId="2" w15:restartNumberingAfterBreak="0">
    <w:nsid w:val="00000404"/>
    <w:multiLevelType w:val="multilevel"/>
    <w:tmpl w:val="0276EC66"/>
    <w:lvl w:ilvl="0">
      <w:start w:val="1"/>
      <w:numFmt w:val="decimal"/>
      <w:lvlText w:val="%1."/>
      <w:lvlJc w:val="left"/>
      <w:pPr>
        <w:ind w:left="819" w:hanging="361"/>
      </w:pPr>
      <w:rPr>
        <w:rFonts w:ascii="Calibri" w:hAnsi="Calibri" w:cs="Calibri"/>
        <w:b w:val="0"/>
        <w:bCs w:val="0"/>
        <w:i w:val="0"/>
        <w:iCs w:val="0"/>
        <w:color w:val="auto"/>
        <w:spacing w:val="0"/>
        <w:w w:val="99"/>
        <w:sz w:val="22"/>
        <w:szCs w:val="22"/>
      </w:rPr>
    </w:lvl>
    <w:lvl w:ilvl="1">
      <w:numFmt w:val="bullet"/>
      <w:lvlText w:val="•"/>
      <w:lvlJc w:val="left"/>
      <w:pPr>
        <w:ind w:left="1688" w:hanging="361"/>
      </w:pPr>
    </w:lvl>
    <w:lvl w:ilvl="2">
      <w:numFmt w:val="bullet"/>
      <w:lvlText w:val="•"/>
      <w:lvlJc w:val="left"/>
      <w:pPr>
        <w:ind w:left="2556" w:hanging="361"/>
      </w:pPr>
    </w:lvl>
    <w:lvl w:ilvl="3">
      <w:numFmt w:val="bullet"/>
      <w:lvlText w:val="•"/>
      <w:lvlJc w:val="left"/>
      <w:pPr>
        <w:ind w:left="3424" w:hanging="361"/>
      </w:pPr>
    </w:lvl>
    <w:lvl w:ilvl="4">
      <w:numFmt w:val="bullet"/>
      <w:lvlText w:val="•"/>
      <w:lvlJc w:val="left"/>
      <w:pPr>
        <w:ind w:left="4292" w:hanging="361"/>
      </w:pPr>
    </w:lvl>
    <w:lvl w:ilvl="5">
      <w:numFmt w:val="bullet"/>
      <w:lvlText w:val="•"/>
      <w:lvlJc w:val="left"/>
      <w:pPr>
        <w:ind w:left="5160" w:hanging="361"/>
      </w:pPr>
    </w:lvl>
    <w:lvl w:ilvl="6">
      <w:numFmt w:val="bullet"/>
      <w:lvlText w:val="•"/>
      <w:lvlJc w:val="left"/>
      <w:pPr>
        <w:ind w:left="6028" w:hanging="361"/>
      </w:pPr>
    </w:lvl>
    <w:lvl w:ilvl="7">
      <w:numFmt w:val="bullet"/>
      <w:lvlText w:val="•"/>
      <w:lvlJc w:val="left"/>
      <w:pPr>
        <w:ind w:left="6896" w:hanging="361"/>
      </w:pPr>
    </w:lvl>
    <w:lvl w:ilvl="8">
      <w:numFmt w:val="bullet"/>
      <w:lvlText w:val="•"/>
      <w:lvlJc w:val="left"/>
      <w:pPr>
        <w:ind w:left="7764" w:hanging="361"/>
      </w:pPr>
    </w:lvl>
  </w:abstractNum>
  <w:abstractNum w:abstractNumId="3" w15:restartNumberingAfterBreak="0">
    <w:nsid w:val="00000405"/>
    <w:multiLevelType w:val="multilevel"/>
    <w:tmpl w:val="D55E22A6"/>
    <w:lvl w:ilvl="0">
      <w:start w:val="1"/>
      <w:numFmt w:val="decimal"/>
      <w:lvlText w:val="%1."/>
      <w:lvlJc w:val="left"/>
      <w:pPr>
        <w:ind w:left="819" w:hanging="361"/>
      </w:pPr>
      <w:rPr>
        <w:rFonts w:ascii="Calibri" w:hAnsi="Calibri" w:cs="Calibri"/>
        <w:b w:val="0"/>
        <w:bCs w:val="0"/>
        <w:i w:val="0"/>
        <w:iCs w:val="0"/>
        <w:color w:val="auto"/>
        <w:spacing w:val="0"/>
        <w:w w:val="99"/>
        <w:sz w:val="22"/>
        <w:szCs w:val="22"/>
      </w:rPr>
    </w:lvl>
    <w:lvl w:ilvl="1">
      <w:numFmt w:val="bullet"/>
      <w:lvlText w:val="•"/>
      <w:lvlJc w:val="left"/>
      <w:pPr>
        <w:ind w:left="1688" w:hanging="361"/>
      </w:pPr>
    </w:lvl>
    <w:lvl w:ilvl="2">
      <w:numFmt w:val="bullet"/>
      <w:lvlText w:val="•"/>
      <w:lvlJc w:val="left"/>
      <w:pPr>
        <w:ind w:left="2556" w:hanging="361"/>
      </w:pPr>
    </w:lvl>
    <w:lvl w:ilvl="3">
      <w:numFmt w:val="bullet"/>
      <w:lvlText w:val="•"/>
      <w:lvlJc w:val="left"/>
      <w:pPr>
        <w:ind w:left="3424" w:hanging="361"/>
      </w:pPr>
    </w:lvl>
    <w:lvl w:ilvl="4">
      <w:numFmt w:val="bullet"/>
      <w:lvlText w:val="•"/>
      <w:lvlJc w:val="left"/>
      <w:pPr>
        <w:ind w:left="4292" w:hanging="361"/>
      </w:pPr>
    </w:lvl>
    <w:lvl w:ilvl="5">
      <w:numFmt w:val="bullet"/>
      <w:lvlText w:val="•"/>
      <w:lvlJc w:val="left"/>
      <w:pPr>
        <w:ind w:left="5160" w:hanging="361"/>
      </w:pPr>
    </w:lvl>
    <w:lvl w:ilvl="6">
      <w:numFmt w:val="bullet"/>
      <w:lvlText w:val="•"/>
      <w:lvlJc w:val="left"/>
      <w:pPr>
        <w:ind w:left="6028" w:hanging="361"/>
      </w:pPr>
    </w:lvl>
    <w:lvl w:ilvl="7">
      <w:numFmt w:val="bullet"/>
      <w:lvlText w:val="•"/>
      <w:lvlJc w:val="left"/>
      <w:pPr>
        <w:ind w:left="6896" w:hanging="361"/>
      </w:pPr>
    </w:lvl>
    <w:lvl w:ilvl="8">
      <w:numFmt w:val="bullet"/>
      <w:lvlText w:val="•"/>
      <w:lvlJc w:val="left"/>
      <w:pPr>
        <w:ind w:left="7764" w:hanging="361"/>
      </w:pPr>
    </w:lvl>
  </w:abstractNum>
  <w:abstractNum w:abstractNumId="4" w15:restartNumberingAfterBreak="0">
    <w:nsid w:val="00000406"/>
    <w:multiLevelType w:val="multilevel"/>
    <w:tmpl w:val="FFFFFFFF"/>
    <w:lvl w:ilvl="0">
      <w:start w:val="1"/>
      <w:numFmt w:val="decimal"/>
      <w:lvlText w:val="%1."/>
      <w:lvlJc w:val="left"/>
      <w:pPr>
        <w:ind w:left="819" w:hanging="361"/>
      </w:pPr>
      <w:rPr>
        <w:rFonts w:ascii="Calibri" w:hAnsi="Calibri" w:cs="Calibri"/>
        <w:b w:val="0"/>
        <w:bCs w:val="0"/>
        <w:i w:val="0"/>
        <w:iCs w:val="0"/>
        <w:spacing w:val="0"/>
        <w:w w:val="99"/>
        <w:sz w:val="22"/>
        <w:szCs w:val="22"/>
      </w:rPr>
    </w:lvl>
    <w:lvl w:ilvl="1">
      <w:numFmt w:val="bullet"/>
      <w:lvlText w:val="•"/>
      <w:lvlJc w:val="left"/>
      <w:pPr>
        <w:ind w:left="1688" w:hanging="361"/>
      </w:pPr>
    </w:lvl>
    <w:lvl w:ilvl="2">
      <w:numFmt w:val="bullet"/>
      <w:lvlText w:val="•"/>
      <w:lvlJc w:val="left"/>
      <w:pPr>
        <w:ind w:left="2556" w:hanging="361"/>
      </w:pPr>
    </w:lvl>
    <w:lvl w:ilvl="3">
      <w:numFmt w:val="bullet"/>
      <w:lvlText w:val="•"/>
      <w:lvlJc w:val="left"/>
      <w:pPr>
        <w:ind w:left="3424" w:hanging="361"/>
      </w:pPr>
    </w:lvl>
    <w:lvl w:ilvl="4">
      <w:numFmt w:val="bullet"/>
      <w:lvlText w:val="•"/>
      <w:lvlJc w:val="left"/>
      <w:pPr>
        <w:ind w:left="4292" w:hanging="361"/>
      </w:pPr>
    </w:lvl>
    <w:lvl w:ilvl="5">
      <w:numFmt w:val="bullet"/>
      <w:lvlText w:val="•"/>
      <w:lvlJc w:val="left"/>
      <w:pPr>
        <w:ind w:left="5160" w:hanging="361"/>
      </w:pPr>
    </w:lvl>
    <w:lvl w:ilvl="6">
      <w:numFmt w:val="bullet"/>
      <w:lvlText w:val="•"/>
      <w:lvlJc w:val="left"/>
      <w:pPr>
        <w:ind w:left="6028" w:hanging="361"/>
      </w:pPr>
    </w:lvl>
    <w:lvl w:ilvl="7">
      <w:numFmt w:val="bullet"/>
      <w:lvlText w:val="•"/>
      <w:lvlJc w:val="left"/>
      <w:pPr>
        <w:ind w:left="6896" w:hanging="361"/>
      </w:pPr>
    </w:lvl>
    <w:lvl w:ilvl="8">
      <w:numFmt w:val="bullet"/>
      <w:lvlText w:val="•"/>
      <w:lvlJc w:val="left"/>
      <w:pPr>
        <w:ind w:left="7764" w:hanging="361"/>
      </w:pPr>
    </w:lvl>
  </w:abstractNum>
  <w:num w:numId="1" w16cid:durableId="669673824">
    <w:abstractNumId w:val="4"/>
  </w:num>
  <w:num w:numId="2" w16cid:durableId="1354772101">
    <w:abstractNumId w:val="3"/>
  </w:num>
  <w:num w:numId="3" w16cid:durableId="1745252812">
    <w:abstractNumId w:val="2"/>
  </w:num>
  <w:num w:numId="4" w16cid:durableId="1782341000">
    <w:abstractNumId w:val="1"/>
  </w:num>
  <w:num w:numId="5" w16cid:durableId="191385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FC"/>
    <w:rsid w:val="00020B85"/>
    <w:rsid w:val="000E3E72"/>
    <w:rsid w:val="00100CC1"/>
    <w:rsid w:val="001A0B1A"/>
    <w:rsid w:val="001C3FD8"/>
    <w:rsid w:val="00327410"/>
    <w:rsid w:val="00331278"/>
    <w:rsid w:val="004564C2"/>
    <w:rsid w:val="00501712"/>
    <w:rsid w:val="00526FE2"/>
    <w:rsid w:val="00556C26"/>
    <w:rsid w:val="005E3D88"/>
    <w:rsid w:val="00665F2E"/>
    <w:rsid w:val="00673AD7"/>
    <w:rsid w:val="0070550C"/>
    <w:rsid w:val="00847D80"/>
    <w:rsid w:val="00882CA5"/>
    <w:rsid w:val="009C7BF4"/>
    <w:rsid w:val="00A20A11"/>
    <w:rsid w:val="00A7447D"/>
    <w:rsid w:val="00AF5717"/>
    <w:rsid w:val="00B922CF"/>
    <w:rsid w:val="00BF5B3E"/>
    <w:rsid w:val="00CD2D3C"/>
    <w:rsid w:val="00D44FFC"/>
    <w:rsid w:val="00DA611C"/>
    <w:rsid w:val="00FE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1E27"/>
  <w15:chartTrackingRefBased/>
  <w15:docId w15:val="{D5D4A395-A510-4C57-836E-A99A195F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44FFC"/>
    <w:pPr>
      <w:autoSpaceDE w:val="0"/>
      <w:autoSpaceDN w:val="0"/>
      <w:adjustRightInd w:val="0"/>
      <w:spacing w:after="0" w:line="240" w:lineRule="auto"/>
      <w:ind w:left="40"/>
      <w:outlineLvl w:val="0"/>
    </w:pPr>
    <w:rPr>
      <w:rFonts w:ascii="Cambria" w:hAnsi="Cambria" w:cs="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4FFC"/>
    <w:rPr>
      <w:rFonts w:ascii="Cambria" w:hAnsi="Cambria" w:cs="Cambria"/>
      <w:b/>
      <w:bCs/>
      <w:sz w:val="26"/>
      <w:szCs w:val="26"/>
    </w:rPr>
  </w:style>
  <w:style w:type="paragraph" w:styleId="BodyText">
    <w:name w:val="Body Text"/>
    <w:basedOn w:val="Normal"/>
    <w:link w:val="BodyTextChar"/>
    <w:uiPriority w:val="1"/>
    <w:qFormat/>
    <w:rsid w:val="00D44FFC"/>
    <w:pPr>
      <w:autoSpaceDE w:val="0"/>
      <w:autoSpaceDN w:val="0"/>
      <w:adjustRightInd w:val="0"/>
      <w:spacing w:after="0" w:line="240" w:lineRule="auto"/>
      <w:ind w:left="759" w:hanging="360"/>
    </w:pPr>
    <w:rPr>
      <w:rFonts w:ascii="Calibri" w:hAnsi="Calibri" w:cs="Calibri"/>
    </w:rPr>
  </w:style>
  <w:style w:type="character" w:customStyle="1" w:styleId="BodyTextChar">
    <w:name w:val="Body Text Char"/>
    <w:basedOn w:val="DefaultParagraphFont"/>
    <w:link w:val="BodyText"/>
    <w:uiPriority w:val="1"/>
    <w:rsid w:val="00D44FFC"/>
    <w:rPr>
      <w:rFonts w:ascii="Calibri" w:hAnsi="Calibri" w:cs="Calibri"/>
    </w:rPr>
  </w:style>
  <w:style w:type="paragraph" w:styleId="ListParagraph">
    <w:name w:val="List Paragraph"/>
    <w:basedOn w:val="Normal"/>
    <w:uiPriority w:val="1"/>
    <w:qFormat/>
    <w:rsid w:val="00D44FFC"/>
    <w:pPr>
      <w:autoSpaceDE w:val="0"/>
      <w:autoSpaceDN w:val="0"/>
      <w:adjustRightInd w:val="0"/>
      <w:spacing w:after="0" w:line="240" w:lineRule="auto"/>
      <w:ind w:left="759" w:right="377" w:hanging="360"/>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1166209752462DA55F90E977364668"/>
        <w:category>
          <w:name w:val="General"/>
          <w:gallery w:val="placeholder"/>
        </w:category>
        <w:types>
          <w:type w:val="bbPlcHdr"/>
        </w:types>
        <w:behaviors>
          <w:behavior w:val="content"/>
        </w:behaviors>
        <w:guid w:val="{49122812-8A31-4ADF-9B2C-8BC1153B8D84}"/>
      </w:docPartPr>
      <w:docPartBody>
        <w:p w:rsidR="00FE5E72" w:rsidRDefault="00FE5E72" w:rsidP="00FE5E72">
          <w:pPr>
            <w:pStyle w:val="1C1166209752462DA55F90E977364668"/>
          </w:pPr>
          <w:r w:rsidRPr="00117A86">
            <w:rPr>
              <w:rStyle w:val="PlaceholderText"/>
            </w:rPr>
            <w:t>Click here to enter text.</w:t>
          </w:r>
        </w:p>
      </w:docPartBody>
    </w:docPart>
    <w:docPart>
      <w:docPartPr>
        <w:name w:val="FE34DF26846E4B26902AA7A32721D93A"/>
        <w:category>
          <w:name w:val="General"/>
          <w:gallery w:val="placeholder"/>
        </w:category>
        <w:types>
          <w:type w:val="bbPlcHdr"/>
        </w:types>
        <w:behaviors>
          <w:behavior w:val="content"/>
        </w:behaviors>
        <w:guid w:val="{6502C08B-B134-4011-9DFE-49BA2ADF3380}"/>
      </w:docPartPr>
      <w:docPartBody>
        <w:p w:rsidR="00FE5E72" w:rsidRDefault="00FE5E72" w:rsidP="00FE5E72">
          <w:pPr>
            <w:pStyle w:val="FE34DF26846E4B26902AA7A32721D93A"/>
          </w:pPr>
          <w:r w:rsidRPr="00117A86">
            <w:rPr>
              <w:rStyle w:val="PlaceholderText"/>
            </w:rPr>
            <w:t>Click here to enter text.</w:t>
          </w:r>
        </w:p>
      </w:docPartBody>
    </w:docPart>
    <w:docPart>
      <w:docPartPr>
        <w:name w:val="5810B9D66ABE44B386B75889AA426F0E"/>
        <w:category>
          <w:name w:val="General"/>
          <w:gallery w:val="placeholder"/>
        </w:category>
        <w:types>
          <w:type w:val="bbPlcHdr"/>
        </w:types>
        <w:behaviors>
          <w:behavior w:val="content"/>
        </w:behaviors>
        <w:guid w:val="{D9FCF602-D267-45B1-BD07-D1F9C6074EAC}"/>
      </w:docPartPr>
      <w:docPartBody>
        <w:p w:rsidR="00FE5E72" w:rsidRDefault="00FE5E72" w:rsidP="00FE5E72">
          <w:pPr>
            <w:pStyle w:val="5810B9D66ABE44B386B75889AA426F0E"/>
          </w:pPr>
          <w:r w:rsidRPr="00117A86">
            <w:rPr>
              <w:rStyle w:val="PlaceholderText"/>
            </w:rPr>
            <w:t>Click here to enter text.</w:t>
          </w:r>
        </w:p>
      </w:docPartBody>
    </w:docPart>
    <w:docPart>
      <w:docPartPr>
        <w:name w:val="D99811B8445A4E42AF2DB15B4082E6CC"/>
        <w:category>
          <w:name w:val="General"/>
          <w:gallery w:val="placeholder"/>
        </w:category>
        <w:types>
          <w:type w:val="bbPlcHdr"/>
        </w:types>
        <w:behaviors>
          <w:behavior w:val="content"/>
        </w:behaviors>
        <w:guid w:val="{072E8C02-5F70-4016-BA57-3B2417FE8399}"/>
      </w:docPartPr>
      <w:docPartBody>
        <w:p w:rsidR="00FE5E72" w:rsidRDefault="00FE5E72" w:rsidP="00FE5E72">
          <w:pPr>
            <w:pStyle w:val="D99811B8445A4E42AF2DB15B4082E6CC"/>
          </w:pPr>
          <w:r w:rsidRPr="00117A86">
            <w:rPr>
              <w:rStyle w:val="PlaceholderText"/>
            </w:rPr>
            <w:t>Click here to enter text.</w:t>
          </w:r>
        </w:p>
      </w:docPartBody>
    </w:docPart>
    <w:docPart>
      <w:docPartPr>
        <w:name w:val="E5B064F828DA4BDB9B2611D4DCE64477"/>
        <w:category>
          <w:name w:val="General"/>
          <w:gallery w:val="placeholder"/>
        </w:category>
        <w:types>
          <w:type w:val="bbPlcHdr"/>
        </w:types>
        <w:behaviors>
          <w:behavior w:val="content"/>
        </w:behaviors>
        <w:guid w:val="{215281C9-E471-439D-B6EF-3D0DA42AC629}"/>
      </w:docPartPr>
      <w:docPartBody>
        <w:p w:rsidR="00FE5E72" w:rsidRDefault="00FE5E72" w:rsidP="00FE5E72">
          <w:pPr>
            <w:pStyle w:val="E5B064F828DA4BDB9B2611D4DCE64477"/>
          </w:pPr>
          <w:r w:rsidRPr="00117A86">
            <w:rPr>
              <w:rStyle w:val="PlaceholderText"/>
            </w:rPr>
            <w:t>Click here to enter text.</w:t>
          </w:r>
        </w:p>
      </w:docPartBody>
    </w:docPart>
    <w:docPart>
      <w:docPartPr>
        <w:name w:val="EB4B74790AA842B0B2AEAB0F1D5F2CE3"/>
        <w:category>
          <w:name w:val="General"/>
          <w:gallery w:val="placeholder"/>
        </w:category>
        <w:types>
          <w:type w:val="bbPlcHdr"/>
        </w:types>
        <w:behaviors>
          <w:behavior w:val="content"/>
        </w:behaviors>
        <w:guid w:val="{EE6140E7-A9D5-4920-853F-8EC9C3E78D51}"/>
      </w:docPartPr>
      <w:docPartBody>
        <w:p w:rsidR="00FE5E72" w:rsidRDefault="00FE5E72" w:rsidP="00FE5E72">
          <w:pPr>
            <w:pStyle w:val="EB4B74790AA842B0B2AEAB0F1D5F2CE3"/>
          </w:pPr>
          <w:r w:rsidRPr="00117A86">
            <w:rPr>
              <w:rStyle w:val="PlaceholderText"/>
            </w:rPr>
            <w:t>Click here to enter text.</w:t>
          </w:r>
        </w:p>
      </w:docPartBody>
    </w:docPart>
    <w:docPart>
      <w:docPartPr>
        <w:name w:val="C361ABE40A5444DC822A1B0A047598E2"/>
        <w:category>
          <w:name w:val="General"/>
          <w:gallery w:val="placeholder"/>
        </w:category>
        <w:types>
          <w:type w:val="bbPlcHdr"/>
        </w:types>
        <w:behaviors>
          <w:behavior w:val="content"/>
        </w:behaviors>
        <w:guid w:val="{C81E7C33-8AAC-4074-8AFE-B932A3DB6550}"/>
      </w:docPartPr>
      <w:docPartBody>
        <w:p w:rsidR="00FE5E72" w:rsidRDefault="00FE5E72" w:rsidP="00FE5E72">
          <w:pPr>
            <w:pStyle w:val="C361ABE40A5444DC822A1B0A047598E2"/>
          </w:pPr>
          <w:r w:rsidRPr="00117A86">
            <w:rPr>
              <w:rStyle w:val="PlaceholderText"/>
            </w:rPr>
            <w:t>Click here to enter text.</w:t>
          </w:r>
        </w:p>
      </w:docPartBody>
    </w:docPart>
    <w:docPart>
      <w:docPartPr>
        <w:name w:val="DCB83777DAE1408CAAAFDA229FE2C205"/>
        <w:category>
          <w:name w:val="General"/>
          <w:gallery w:val="placeholder"/>
        </w:category>
        <w:types>
          <w:type w:val="bbPlcHdr"/>
        </w:types>
        <w:behaviors>
          <w:behavior w:val="content"/>
        </w:behaviors>
        <w:guid w:val="{DB4155A6-B1CD-4B61-BAF6-931ED61B6DF2}"/>
      </w:docPartPr>
      <w:docPartBody>
        <w:p w:rsidR="00FE5E72" w:rsidRDefault="00FE5E72" w:rsidP="00FE5E72">
          <w:pPr>
            <w:pStyle w:val="DCB83777DAE1408CAAAFDA229FE2C205"/>
          </w:pPr>
          <w:r w:rsidRPr="00117A86">
            <w:rPr>
              <w:rStyle w:val="PlaceholderText"/>
            </w:rPr>
            <w:t>Click here to enter text.</w:t>
          </w:r>
        </w:p>
      </w:docPartBody>
    </w:docPart>
    <w:docPart>
      <w:docPartPr>
        <w:name w:val="63F83301C8274AF8946FBC25B37645C7"/>
        <w:category>
          <w:name w:val="General"/>
          <w:gallery w:val="placeholder"/>
        </w:category>
        <w:types>
          <w:type w:val="bbPlcHdr"/>
        </w:types>
        <w:behaviors>
          <w:behavior w:val="content"/>
        </w:behaviors>
        <w:guid w:val="{630EC337-E24A-43F9-8587-3C47861D9BA9}"/>
      </w:docPartPr>
      <w:docPartBody>
        <w:p w:rsidR="00FE5E72" w:rsidRDefault="00FE5E72" w:rsidP="00FE5E72">
          <w:pPr>
            <w:pStyle w:val="63F83301C8274AF8946FBC25B37645C7"/>
          </w:pPr>
          <w:r w:rsidRPr="00117A86">
            <w:rPr>
              <w:rStyle w:val="PlaceholderText"/>
            </w:rPr>
            <w:t>Click here to enter text.</w:t>
          </w:r>
        </w:p>
      </w:docPartBody>
    </w:docPart>
    <w:docPart>
      <w:docPartPr>
        <w:name w:val="91C5F9CC5D314215810C7966B26032EE"/>
        <w:category>
          <w:name w:val="General"/>
          <w:gallery w:val="placeholder"/>
        </w:category>
        <w:types>
          <w:type w:val="bbPlcHdr"/>
        </w:types>
        <w:behaviors>
          <w:behavior w:val="content"/>
        </w:behaviors>
        <w:guid w:val="{4C7D27C1-F419-45A6-9995-EA60BEA52FA4}"/>
      </w:docPartPr>
      <w:docPartBody>
        <w:p w:rsidR="00FE5E72" w:rsidRDefault="00FE5E72" w:rsidP="00FE5E72">
          <w:pPr>
            <w:pStyle w:val="91C5F9CC5D314215810C7966B26032EE"/>
          </w:pPr>
          <w:r w:rsidRPr="00117A86">
            <w:rPr>
              <w:rStyle w:val="PlaceholderText"/>
            </w:rPr>
            <w:t>Click here to enter text.</w:t>
          </w:r>
        </w:p>
      </w:docPartBody>
    </w:docPart>
    <w:docPart>
      <w:docPartPr>
        <w:name w:val="798B8DC7C3D8442986F581CEF0CC7087"/>
        <w:category>
          <w:name w:val="General"/>
          <w:gallery w:val="placeholder"/>
        </w:category>
        <w:types>
          <w:type w:val="bbPlcHdr"/>
        </w:types>
        <w:behaviors>
          <w:behavior w:val="content"/>
        </w:behaviors>
        <w:guid w:val="{145D90EF-2F29-4FC2-88B4-16ED623B8118}"/>
      </w:docPartPr>
      <w:docPartBody>
        <w:p w:rsidR="00FE5E72" w:rsidRDefault="00FE5E72" w:rsidP="00FE5E72">
          <w:pPr>
            <w:pStyle w:val="798B8DC7C3D8442986F581CEF0CC7087"/>
          </w:pPr>
          <w:r w:rsidRPr="00117A86">
            <w:rPr>
              <w:rStyle w:val="PlaceholderText"/>
            </w:rPr>
            <w:t>Click here to enter text.</w:t>
          </w:r>
        </w:p>
      </w:docPartBody>
    </w:docPart>
    <w:docPart>
      <w:docPartPr>
        <w:name w:val="CAF21F2B2E6741818A25A59AA56A466D"/>
        <w:category>
          <w:name w:val="General"/>
          <w:gallery w:val="placeholder"/>
        </w:category>
        <w:types>
          <w:type w:val="bbPlcHdr"/>
        </w:types>
        <w:behaviors>
          <w:behavior w:val="content"/>
        </w:behaviors>
        <w:guid w:val="{78027924-5D97-4E17-8EE4-8AAD517FFF9C}"/>
      </w:docPartPr>
      <w:docPartBody>
        <w:p w:rsidR="00FE5E72" w:rsidRDefault="00FE5E72" w:rsidP="00FE5E72">
          <w:pPr>
            <w:pStyle w:val="CAF21F2B2E6741818A25A59AA56A466D"/>
          </w:pPr>
          <w:r w:rsidRPr="00117A86">
            <w:rPr>
              <w:rStyle w:val="PlaceholderText"/>
            </w:rPr>
            <w:t>Click here to enter text.</w:t>
          </w:r>
        </w:p>
      </w:docPartBody>
    </w:docPart>
    <w:docPart>
      <w:docPartPr>
        <w:name w:val="F75156C0A1384D12A293FE4023CEA38A"/>
        <w:category>
          <w:name w:val="General"/>
          <w:gallery w:val="placeholder"/>
        </w:category>
        <w:types>
          <w:type w:val="bbPlcHdr"/>
        </w:types>
        <w:behaviors>
          <w:behavior w:val="content"/>
        </w:behaviors>
        <w:guid w:val="{A77E3936-69A2-4724-9FB7-77BA749C083A}"/>
      </w:docPartPr>
      <w:docPartBody>
        <w:p w:rsidR="00FE5E72" w:rsidRDefault="00FE5E72" w:rsidP="00FE5E72">
          <w:pPr>
            <w:pStyle w:val="F75156C0A1384D12A293FE4023CEA38A"/>
          </w:pPr>
          <w:r w:rsidRPr="00117A86">
            <w:rPr>
              <w:rStyle w:val="PlaceholderText"/>
            </w:rPr>
            <w:t>Click here to enter text.</w:t>
          </w:r>
        </w:p>
      </w:docPartBody>
    </w:docPart>
    <w:docPart>
      <w:docPartPr>
        <w:name w:val="C9D03ECB96BE488792CE3ECAD054D977"/>
        <w:category>
          <w:name w:val="General"/>
          <w:gallery w:val="placeholder"/>
        </w:category>
        <w:types>
          <w:type w:val="bbPlcHdr"/>
        </w:types>
        <w:behaviors>
          <w:behavior w:val="content"/>
        </w:behaviors>
        <w:guid w:val="{E7C95990-BCE3-4652-AA0F-4ADF44C01C9C}"/>
      </w:docPartPr>
      <w:docPartBody>
        <w:p w:rsidR="00FE5E72" w:rsidRDefault="00FE5E72" w:rsidP="00FE5E72">
          <w:pPr>
            <w:pStyle w:val="C9D03ECB96BE488792CE3ECAD054D977"/>
          </w:pPr>
          <w:r w:rsidRPr="00117A86">
            <w:rPr>
              <w:rStyle w:val="PlaceholderText"/>
            </w:rPr>
            <w:t>Click here to enter text.</w:t>
          </w:r>
        </w:p>
      </w:docPartBody>
    </w:docPart>
    <w:docPart>
      <w:docPartPr>
        <w:name w:val="7AE78F6DC4524717BB81C3F9EC2B3977"/>
        <w:category>
          <w:name w:val="General"/>
          <w:gallery w:val="placeholder"/>
        </w:category>
        <w:types>
          <w:type w:val="bbPlcHdr"/>
        </w:types>
        <w:behaviors>
          <w:behavior w:val="content"/>
        </w:behaviors>
        <w:guid w:val="{BEFF2577-A80C-49CA-9694-05B09B81612B}"/>
      </w:docPartPr>
      <w:docPartBody>
        <w:p w:rsidR="00FE5E72" w:rsidRDefault="00FE5E72" w:rsidP="00FE5E72">
          <w:pPr>
            <w:pStyle w:val="7AE78F6DC4524717BB81C3F9EC2B3977"/>
          </w:pPr>
          <w:r w:rsidRPr="00117A86">
            <w:rPr>
              <w:rStyle w:val="PlaceholderText"/>
            </w:rPr>
            <w:t>Click here to enter text.</w:t>
          </w:r>
        </w:p>
      </w:docPartBody>
    </w:docPart>
    <w:docPart>
      <w:docPartPr>
        <w:name w:val="7DB4CE14B23544E48CBFD5B3130DBDF0"/>
        <w:category>
          <w:name w:val="General"/>
          <w:gallery w:val="placeholder"/>
        </w:category>
        <w:types>
          <w:type w:val="bbPlcHdr"/>
        </w:types>
        <w:behaviors>
          <w:behavior w:val="content"/>
        </w:behaviors>
        <w:guid w:val="{2ED7CFE5-D55F-436F-9435-AA99D3F90FF8}"/>
      </w:docPartPr>
      <w:docPartBody>
        <w:p w:rsidR="00FE5E72" w:rsidRDefault="00FE5E72" w:rsidP="00FE5E72">
          <w:pPr>
            <w:pStyle w:val="7DB4CE14B23544E48CBFD5B3130DBDF0"/>
          </w:pPr>
          <w:r w:rsidRPr="00117A86">
            <w:rPr>
              <w:rStyle w:val="PlaceholderText"/>
            </w:rPr>
            <w:t>Click here to enter text.</w:t>
          </w:r>
        </w:p>
      </w:docPartBody>
    </w:docPart>
    <w:docPart>
      <w:docPartPr>
        <w:name w:val="18BCB61F5D454BA0AB6CA7742E70C897"/>
        <w:category>
          <w:name w:val="General"/>
          <w:gallery w:val="placeholder"/>
        </w:category>
        <w:types>
          <w:type w:val="bbPlcHdr"/>
        </w:types>
        <w:behaviors>
          <w:behavior w:val="content"/>
        </w:behaviors>
        <w:guid w:val="{5A5BE6E3-5C9C-49D5-A7D6-681C13CDF516}"/>
      </w:docPartPr>
      <w:docPartBody>
        <w:p w:rsidR="00FE5E72" w:rsidRDefault="00FE5E72" w:rsidP="00FE5E72">
          <w:pPr>
            <w:pStyle w:val="18BCB61F5D454BA0AB6CA7742E70C897"/>
          </w:pPr>
          <w:r w:rsidRPr="00117A86">
            <w:rPr>
              <w:rStyle w:val="PlaceholderText"/>
            </w:rPr>
            <w:t>Click here to enter text.</w:t>
          </w:r>
        </w:p>
      </w:docPartBody>
    </w:docPart>
    <w:docPart>
      <w:docPartPr>
        <w:name w:val="7EA61297B93744FA82019D6E120D59D6"/>
        <w:category>
          <w:name w:val="General"/>
          <w:gallery w:val="placeholder"/>
        </w:category>
        <w:types>
          <w:type w:val="bbPlcHdr"/>
        </w:types>
        <w:behaviors>
          <w:behavior w:val="content"/>
        </w:behaviors>
        <w:guid w:val="{28FD4029-CDB5-4630-ABF8-CC881310DD25}"/>
      </w:docPartPr>
      <w:docPartBody>
        <w:p w:rsidR="00FE5E72" w:rsidRDefault="00FE5E72" w:rsidP="00FE5E72">
          <w:pPr>
            <w:pStyle w:val="7EA61297B93744FA82019D6E120D59D6"/>
          </w:pPr>
          <w:r w:rsidRPr="00117A86">
            <w:rPr>
              <w:rStyle w:val="PlaceholderText"/>
            </w:rPr>
            <w:t>Click here to enter text.</w:t>
          </w:r>
        </w:p>
      </w:docPartBody>
    </w:docPart>
    <w:docPart>
      <w:docPartPr>
        <w:name w:val="4FE3F1738AB04F6EBDC181AC65DE8F4D"/>
        <w:category>
          <w:name w:val="General"/>
          <w:gallery w:val="placeholder"/>
        </w:category>
        <w:types>
          <w:type w:val="bbPlcHdr"/>
        </w:types>
        <w:behaviors>
          <w:behavior w:val="content"/>
        </w:behaviors>
        <w:guid w:val="{A21AA68C-35B5-4375-9372-0D96E1B030AD}"/>
      </w:docPartPr>
      <w:docPartBody>
        <w:p w:rsidR="00FE5E72" w:rsidRDefault="00FE5E72" w:rsidP="00FE5E72">
          <w:pPr>
            <w:pStyle w:val="4FE3F1738AB04F6EBDC181AC65DE8F4D"/>
          </w:pPr>
          <w:r w:rsidRPr="00117A86">
            <w:rPr>
              <w:rStyle w:val="PlaceholderText"/>
            </w:rPr>
            <w:t>Click here to enter text.</w:t>
          </w:r>
        </w:p>
      </w:docPartBody>
    </w:docPart>
    <w:docPart>
      <w:docPartPr>
        <w:name w:val="E6700E64E6BD4843AB19C285FC90B673"/>
        <w:category>
          <w:name w:val="General"/>
          <w:gallery w:val="placeholder"/>
        </w:category>
        <w:types>
          <w:type w:val="bbPlcHdr"/>
        </w:types>
        <w:behaviors>
          <w:behavior w:val="content"/>
        </w:behaviors>
        <w:guid w:val="{B45E04C3-2BD8-472D-87CA-E73F753C9E94}"/>
      </w:docPartPr>
      <w:docPartBody>
        <w:p w:rsidR="00FE5E72" w:rsidRDefault="00FE5E72" w:rsidP="00FE5E72">
          <w:pPr>
            <w:pStyle w:val="E6700E64E6BD4843AB19C285FC90B673"/>
          </w:pPr>
          <w:r w:rsidRPr="00117A8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72"/>
    <w:rsid w:val="001A0B1A"/>
    <w:rsid w:val="00A7447D"/>
    <w:rsid w:val="00FE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E72"/>
    <w:rPr>
      <w:color w:val="808080"/>
    </w:rPr>
  </w:style>
  <w:style w:type="paragraph" w:customStyle="1" w:styleId="1C1166209752462DA55F90E977364668">
    <w:name w:val="1C1166209752462DA55F90E977364668"/>
    <w:rsid w:val="00FE5E72"/>
  </w:style>
  <w:style w:type="paragraph" w:customStyle="1" w:styleId="FE34DF26846E4B26902AA7A32721D93A">
    <w:name w:val="FE34DF26846E4B26902AA7A32721D93A"/>
    <w:rsid w:val="00FE5E72"/>
  </w:style>
  <w:style w:type="paragraph" w:customStyle="1" w:styleId="5810B9D66ABE44B386B75889AA426F0E">
    <w:name w:val="5810B9D66ABE44B386B75889AA426F0E"/>
    <w:rsid w:val="00FE5E72"/>
  </w:style>
  <w:style w:type="paragraph" w:customStyle="1" w:styleId="D99811B8445A4E42AF2DB15B4082E6CC">
    <w:name w:val="D99811B8445A4E42AF2DB15B4082E6CC"/>
    <w:rsid w:val="00FE5E72"/>
  </w:style>
  <w:style w:type="paragraph" w:customStyle="1" w:styleId="E5B064F828DA4BDB9B2611D4DCE64477">
    <w:name w:val="E5B064F828DA4BDB9B2611D4DCE64477"/>
    <w:rsid w:val="00FE5E72"/>
  </w:style>
  <w:style w:type="paragraph" w:customStyle="1" w:styleId="EB4B74790AA842B0B2AEAB0F1D5F2CE3">
    <w:name w:val="EB4B74790AA842B0B2AEAB0F1D5F2CE3"/>
    <w:rsid w:val="00FE5E72"/>
  </w:style>
  <w:style w:type="paragraph" w:customStyle="1" w:styleId="C361ABE40A5444DC822A1B0A047598E2">
    <w:name w:val="C361ABE40A5444DC822A1B0A047598E2"/>
    <w:rsid w:val="00FE5E72"/>
  </w:style>
  <w:style w:type="paragraph" w:customStyle="1" w:styleId="DCB83777DAE1408CAAAFDA229FE2C205">
    <w:name w:val="DCB83777DAE1408CAAAFDA229FE2C205"/>
    <w:rsid w:val="00FE5E72"/>
  </w:style>
  <w:style w:type="paragraph" w:customStyle="1" w:styleId="63F83301C8274AF8946FBC25B37645C7">
    <w:name w:val="63F83301C8274AF8946FBC25B37645C7"/>
    <w:rsid w:val="00FE5E72"/>
  </w:style>
  <w:style w:type="paragraph" w:customStyle="1" w:styleId="91C5F9CC5D314215810C7966B26032EE">
    <w:name w:val="91C5F9CC5D314215810C7966B26032EE"/>
    <w:rsid w:val="00FE5E72"/>
  </w:style>
  <w:style w:type="paragraph" w:customStyle="1" w:styleId="798B8DC7C3D8442986F581CEF0CC7087">
    <w:name w:val="798B8DC7C3D8442986F581CEF0CC7087"/>
    <w:rsid w:val="00FE5E72"/>
  </w:style>
  <w:style w:type="paragraph" w:customStyle="1" w:styleId="CAF21F2B2E6741818A25A59AA56A466D">
    <w:name w:val="CAF21F2B2E6741818A25A59AA56A466D"/>
    <w:rsid w:val="00FE5E72"/>
  </w:style>
  <w:style w:type="paragraph" w:customStyle="1" w:styleId="F75156C0A1384D12A293FE4023CEA38A">
    <w:name w:val="F75156C0A1384D12A293FE4023CEA38A"/>
    <w:rsid w:val="00FE5E72"/>
  </w:style>
  <w:style w:type="paragraph" w:customStyle="1" w:styleId="C9D03ECB96BE488792CE3ECAD054D977">
    <w:name w:val="C9D03ECB96BE488792CE3ECAD054D977"/>
    <w:rsid w:val="00FE5E72"/>
  </w:style>
  <w:style w:type="paragraph" w:customStyle="1" w:styleId="7AE78F6DC4524717BB81C3F9EC2B3977">
    <w:name w:val="7AE78F6DC4524717BB81C3F9EC2B3977"/>
    <w:rsid w:val="00FE5E72"/>
  </w:style>
  <w:style w:type="paragraph" w:customStyle="1" w:styleId="7DB4CE14B23544E48CBFD5B3130DBDF0">
    <w:name w:val="7DB4CE14B23544E48CBFD5B3130DBDF0"/>
    <w:rsid w:val="00FE5E72"/>
  </w:style>
  <w:style w:type="paragraph" w:customStyle="1" w:styleId="18BCB61F5D454BA0AB6CA7742E70C897">
    <w:name w:val="18BCB61F5D454BA0AB6CA7742E70C897"/>
    <w:rsid w:val="00FE5E72"/>
  </w:style>
  <w:style w:type="paragraph" w:customStyle="1" w:styleId="7EA61297B93744FA82019D6E120D59D6">
    <w:name w:val="7EA61297B93744FA82019D6E120D59D6"/>
    <w:rsid w:val="00FE5E72"/>
  </w:style>
  <w:style w:type="paragraph" w:customStyle="1" w:styleId="4FE3F1738AB04F6EBDC181AC65DE8F4D">
    <w:name w:val="4FE3F1738AB04F6EBDC181AC65DE8F4D"/>
    <w:rsid w:val="00FE5E72"/>
  </w:style>
  <w:style w:type="paragraph" w:customStyle="1" w:styleId="E6700E64E6BD4843AB19C285FC90B673">
    <w:name w:val="E6700E64E6BD4843AB19C285FC90B673"/>
    <w:rsid w:val="00FE5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3600</TotalTime>
  <Pages>5</Pages>
  <Words>1543</Words>
  <Characters>9968</Characters>
  <Application>Microsoft Office Word</Application>
  <DocSecurity>0</DocSecurity>
  <Lines>332</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Shamberg, Vanessa (FHWA)</dc:creator>
  <cp:keywords/>
  <dc:description/>
  <cp:lastModifiedBy>Bomberger, Andrew</cp:lastModifiedBy>
  <cp:revision>14</cp:revision>
  <dcterms:created xsi:type="dcterms:W3CDTF">2024-02-05T23:25:00Z</dcterms:created>
  <dcterms:modified xsi:type="dcterms:W3CDTF">2025-01-27T19:57:00Z</dcterms:modified>
</cp:coreProperties>
</file>